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issues on mobile? Try the same study chapter-by-chapter to imporve usablility.](/kjrm-study/1.html)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that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color w:val="4A6FA5"/>
          <w:sz w:val="18"/>
          <w:szCs w:val="18"/>
        </w:rPr>
        <w:t xml:space="preserve"> (hb</w:t>
      </w:r>
      <w:r>
        <w:rPr>
          <w:rStyle w:val="FootnoteReference"/>
        </w:rPr>
        <w:footnoteReference w:id="551"/>
      </w:r>
      <w:r>
        <w:rPr>
          <w:color w:val="4A6FA5"/>
          <w:sz w:val="18"/>
          <w:szCs w:val="18"/>
        </w:rPr>
        <w:t xml:space="preserve">) </w:t>
      </w:r>
      <w:r>
        <w:rPr/>
        <w:t xml:space="preserve"> </w:t>
      </w:r>
      <w:r>
        <w:rPr>
          <w:rStyle w:val="FootnoteReference"/>
        </w:rPr>
        <w:footnoteReference w:id="552"/>
      </w:r>
      <w:r>
        <w:rPr/>
        <w:t xml:space="preserve">, by the space of a thousand and six hundred furlongs </w:t>
      </w:r>
      <w:r>
        <w:rPr>
          <w:rStyle w:val="FootnoteReference"/>
        </w:rPr>
        <w:footnoteReference w:id="553"/>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4"/>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5"/>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6"/>
      </w:r>
      <w:r>
        <w:rPr>
          <w:color w:val="4A6FA5"/>
          <w:sz w:val="18"/>
          <w:szCs w:val="18"/>
        </w:rPr>
        <w:t xml:space="preserve">) </w:t>
      </w:r>
      <w:r>
        <w:rPr/>
        <w:t xml:space="preserve"> </w:t>
      </w:r>
      <w:r>
        <w:rPr>
          <w:rStyle w:val="FootnoteReference"/>
        </w:rPr>
        <w:footnoteReference w:id="557"/>
      </w:r>
      <w:r>
        <w:rPr/>
        <w:t xml:space="preserve"> </w:t>
      </w:r>
      <w:r>
        <w:rPr>
          <w:rStyle w:val="FootnoteReference"/>
        </w:rPr>
        <w:footnoteReference w:id="558"/>
      </w:r>
      <w:r>
        <w:rPr/>
        <w:t xml:space="preserve"> </w:t>
      </w:r>
      <w:r>
        <w:rPr>
          <w:rStyle w:val="FootnoteReference"/>
        </w:rPr>
        <w:footnoteReference w:id="559"/>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60"/>
      </w:r>
      <w:r>
        <w:rPr/>
        <w:t xml:space="preserve"> </w:t>
      </w:r>
      <w:r>
        <w:rPr>
          <w:rStyle w:val="FootnoteReference"/>
        </w:rPr>
        <w:footnoteReference w:id="561"/>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2"/>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3"/>
      </w:r>
      <w:r>
        <w:rPr/>
        <w:t xml:space="preserve"> </w:t>
      </w:r>
      <w:r>
        <w:rPr>
          <w:rStyle w:val="FootnoteReference"/>
        </w:rPr>
        <w:footnoteReference w:id="564"/>
      </w:r>
      <w:r>
        <w:rPr/>
        <w:t xml:space="preserve">, and his </w:t>
      </w:r>
      <w:r>
        <w:rPr>
          <w:b w:val="1"/>
          <w:bCs w:val="1"/>
        </w:rPr>
        <w:t xml:space="preserve">image</w:t>
      </w:r>
      <w:r>
        <w:rPr/>
        <w:t xml:space="preserve"> </w:t>
      </w:r>
      <w:r>
        <w:rPr>
          <w:rStyle w:val="FootnoteReference"/>
        </w:rPr>
        <w:footnoteReference w:id="565"/>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6"/>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7"/>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8"/>
      </w:r>
      <w:r>
        <w:rPr>
          <w:color w:val="4A6FA5"/>
          <w:sz w:val="18"/>
          <w:szCs w:val="18"/>
        </w:rPr>
        <w:t xml:space="preserve">) </w:t>
      </w:r>
      <w:r>
        <w:rPr/>
        <w:t xml:space="preserve"> </w:t>
      </w:r>
      <w:r>
        <w:rPr>
          <w:rStyle w:val="FootnoteReference"/>
        </w:rPr>
        <w:footnoteReference w:id="569"/>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70"/>
      </w:r>
      <w:r>
        <w:rPr/>
        <w:t xml:space="preserve"> of the </w:t>
      </w:r>
      <w:r>
        <w:rPr>
          <w:b w:val="1"/>
          <w:bCs w:val="1"/>
        </w:rPr>
        <w:t xml:space="preserve">temple</w:t>
      </w:r>
      <w:r>
        <w:rPr/>
        <w:t xml:space="preserve"> </w:t>
      </w:r>
      <w:r>
        <w:rPr>
          <w:rStyle w:val="FootnoteReference"/>
        </w:rPr>
        <w:footnoteReference w:id="571"/>
      </w:r>
      <w:r>
        <w:rPr/>
        <w:t xml:space="preserve">, clothed in </w:t>
      </w:r>
      <w:r>
        <w:rPr>
          <w:b w:val="1"/>
          <w:bCs w:val="1"/>
        </w:rPr>
        <w:t xml:space="preserve">clean and bright linen</w:t>
      </w:r>
      <w:r>
        <w:rPr/>
        <w:t xml:space="preserve"> </w:t>
      </w:r>
      <w:r>
        <w:rPr>
          <w:rStyle w:val="FootnoteReference"/>
        </w:rPr>
        <w:footnoteReference w:id="572"/>
      </w:r>
      <w:r>
        <w:rPr/>
        <w:t xml:space="preserve">, and having their breasts </w:t>
      </w:r>
      <w:r>
        <w:rPr>
          <w:b w:val="1"/>
          <w:bCs w:val="1"/>
        </w:rPr>
        <w:t xml:space="preserve">girded with golden girdles</w:t>
      </w:r>
      <w:r>
        <w:rPr/>
        <w:t xml:space="preserve"> </w:t>
      </w:r>
      <w:r>
        <w:rPr>
          <w:rStyle w:val="FootnoteReference"/>
        </w:rPr>
        <w:footnoteReference w:id="573"/>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4"/>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5"/>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6"/>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7"/>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8"/>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9"/>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80"/>
      </w:r>
      <w:r>
        <w:rPr/>
        <w:t xml:space="preserve">; and noisome and grievous sores fell upon the men who had the </w:t>
      </w:r>
      <w:r>
        <w:rPr>
          <w:b w:val="1"/>
          <w:bCs w:val="1"/>
        </w:rPr>
        <w:t xml:space="preserve">mark of the beast</w:t>
      </w:r>
      <w:r>
        <w:rPr/>
        <w:t xml:space="preserve"> </w:t>
      </w:r>
      <w:r>
        <w:rPr>
          <w:rStyle w:val="FootnoteReference"/>
        </w:rPr>
        <w:footnoteReference w:id="581"/>
      </w:r>
      <w:r>
        <w:rPr/>
        <w:t xml:space="preserve"> </w:t>
      </w:r>
      <w:r>
        <w:rPr>
          <w:rStyle w:val="FootnoteReference"/>
        </w:rPr>
        <w:footnoteReference w:id="582"/>
      </w:r>
      <w:r>
        <w:rPr/>
        <w:t xml:space="preserve">, and </w:t>
      </w:r>
      <w:r>
        <w:rPr/>
        <w:t xml:space="preserve">them which </w:t>
      </w:r>
      <w:r>
        <w:rPr>
          <w:b w:val="1"/>
          <w:bCs w:val="1"/>
        </w:rPr>
        <w:t xml:space="preserve">worshipped his image</w:t>
      </w:r>
      <w:r>
        <w:rPr/>
        <w:t xml:space="preserve"> </w:t>
      </w:r>
      <w:r>
        <w:rPr>
          <w:rStyle w:val="FootnoteReference"/>
        </w:rPr>
        <w:footnoteReference w:id="583"/>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4"/>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5"/>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6"/>
      </w:r>
      <w:r>
        <w:rPr/>
        <w:t xml:space="preserve"> </w:t>
      </w:r>
      <w:r>
        <w:rPr>
          <w:rStyle w:val="FootnoteReference"/>
        </w:rPr>
        <w:footnoteReference w:id="587"/>
      </w:r>
      <w:r>
        <w:rPr/>
        <w:t xml:space="preserve"> </w:t>
      </w:r>
      <w:r>
        <w:rPr>
          <w:rStyle w:val="FootnoteReference"/>
        </w:rPr>
        <w:footnoteReference w:id="588"/>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9"/>
      </w:r>
      <w:r>
        <w:rPr/>
        <w:t xml:space="preserve">; </w:t>
      </w:r>
      <w:r>
        <w:rPr>
          <w:b w:val="1"/>
          <w:bCs w:val="1"/>
        </w:rPr>
        <w:t xml:space="preserve">and it was given unto him to scorch men with fire</w:t>
      </w:r>
      <w:r>
        <w:rPr/>
        <w:t xml:space="preserve"> </w:t>
      </w:r>
      <w:r>
        <w:rPr>
          <w:rStyle w:val="FootnoteReference"/>
        </w:rPr>
        <w:footnoteReference w:id="590"/>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1"/>
      </w:r>
      <w:r>
        <w:rPr/>
        <w:t xml:space="preserve">; and </w:t>
      </w:r>
      <w:r>
        <w:rPr>
          <w:b w:val="1"/>
          <w:bCs w:val="1"/>
        </w:rPr>
        <w:t xml:space="preserve">his kingdom was full of darkness</w:t>
      </w:r>
      <w:r>
        <w:rPr/>
        <w:t xml:space="preserve"> </w:t>
      </w:r>
      <w:r>
        <w:rPr>
          <w:rStyle w:val="FootnoteReference"/>
        </w:rPr>
        <w:footnoteReference w:id="592"/>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3"/>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4"/>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5"/>
      </w:r>
      <w:r>
        <w:rPr/>
        <w:t xml:space="preserve">, working </w:t>
      </w:r>
      <w:r>
        <w:rPr>
          <w:b w:val="1"/>
          <w:bCs w:val="1"/>
        </w:rPr>
        <w:t xml:space="preserve">signs</w:t>
      </w:r>
      <w:r>
        <w:rPr/>
        <w:t xml:space="preserve"> </w:t>
      </w:r>
      <w:r>
        <w:rPr>
          <w:rStyle w:val="FootnoteReference"/>
        </w:rPr>
        <w:footnoteReference w:id="596"/>
      </w:r>
      <w:r>
        <w:rPr/>
        <w:t xml:space="preserve">, who go forth unto the kings of the earth and of the whole world, to gather them to the war of </w:t>
      </w:r>
      <w:r>
        <w:rPr>
          <w:b w:val="1"/>
          <w:bCs w:val="1"/>
        </w:rPr>
        <w:t xml:space="preserve">the great day</w:t>
      </w:r>
      <w:r>
        <w:rPr>
          <w:rStyle w:val="FootnoteReference"/>
        </w:rPr>
        <w:footnoteReference w:id="597"/>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8"/>
      </w:r>
      <w:r>
        <w:rPr/>
        <w:t xml:space="preserve">. </w:t>
      </w:r>
      <w:r>
        <w:rPr>
          <w:b w:val="1"/>
          <w:bCs w:val="1"/>
        </w:rPr>
        <w:t xml:space="preserve">Blessed</w:t>
      </w:r>
      <w:r>
        <w:rPr/>
        <w:t xml:space="preserve"> </w:t>
      </w:r>
      <w:r>
        <w:rPr>
          <w:rStyle w:val="FootnoteReference"/>
        </w:rPr>
        <w:footnoteReference w:id="599"/>
      </w:r>
      <w:r>
        <w:rPr/>
        <w:t xml:space="preserve"> is he who watches, and keeps his garments, lest he walk </w:t>
      </w:r>
      <w:r>
        <w:rPr>
          <w:b w:val="1"/>
          <w:bCs w:val="1"/>
        </w:rPr>
        <w:t xml:space="preserve">naked</w:t>
      </w:r>
      <w:r>
        <w:rPr/>
        <w:t xml:space="preserve"> </w:t>
      </w:r>
      <w:r>
        <w:rPr>
          <w:rStyle w:val="FootnoteReference"/>
        </w:rPr>
        <w:footnoteReference w:id="600"/>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1"/>
      </w:r>
      <w:r>
        <w:rPr/>
        <w:t xml:space="preserve">, from the throne, saying, </w:t>
      </w:r>
      <w:r>
        <w:rPr>
          <w:b w:val="1"/>
          <w:bCs w:val="1"/>
        </w:rPr>
        <w:t xml:space="preserve">It is done</w:t>
      </w:r>
      <w:r>
        <w:rPr/>
        <w:t xml:space="preserve"> </w:t>
      </w:r>
      <w:r>
        <w:rPr>
          <w:rStyle w:val="FootnoteReference"/>
        </w:rPr>
        <w:footnoteReference w:id="602"/>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3"/>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4"/>
      </w:r>
      <w:r>
        <w:rPr/>
        <w:t xml:space="preserve"> </w:t>
      </w:r>
      <w:r>
        <w:rPr>
          <w:rStyle w:val="FootnoteReference"/>
        </w:rPr>
        <w:footnoteReference w:id="605"/>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6"/>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7"/>
      </w:r>
      <w:r>
        <w:rPr>
          <w:color w:val="4A6FA5"/>
          <w:sz w:val="18"/>
          <w:szCs w:val="18"/>
        </w:rPr>
        <w:t xml:space="preserve">) </w:t>
      </w:r>
      <w:r>
        <w:rPr/>
        <w:t xml:space="preserve"> </w:t>
      </w:r>
      <w:r>
        <w:rPr>
          <w:rStyle w:val="FootnoteReference"/>
        </w:rPr>
        <w:footnoteReference w:id="608"/>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9"/>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10"/>
      </w:r>
      <w:r>
        <w:rPr/>
        <w:t xml:space="preserve">, I will show unto you the judgment of the </w:t>
      </w:r>
      <w:r>
        <w:rPr>
          <w:b w:val="1"/>
          <w:bCs w:val="1"/>
        </w:rPr>
        <w:t xml:space="preserve">great whore</w:t>
      </w:r>
      <w:r>
        <w:rPr/>
        <w:t xml:space="preserve"> </w:t>
      </w:r>
      <w:r>
        <w:rPr>
          <w:rStyle w:val="FootnoteReference"/>
        </w:rPr>
        <w:footnoteReference w:id="611"/>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2"/>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3"/>
      </w:r>
      <w:r>
        <w:rPr/>
        <w:t xml:space="preserve"> </w:t>
      </w:r>
      <w:r>
        <w:rPr>
          <w:rStyle w:val="FootnoteReference"/>
        </w:rPr>
        <w:footnoteReference w:id="614"/>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5"/>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6"/>
      </w:r>
      <w:r>
        <w:rPr/>
        <w:t xml:space="preserve">, having </w:t>
      </w:r>
      <w:r>
        <w:rPr>
          <w:b w:val="1"/>
          <w:bCs w:val="1"/>
        </w:rPr>
        <w:t xml:space="preserve">seven heads and ten horns</w:t>
      </w:r>
      <w:r>
        <w:rPr/>
        <w:t xml:space="preserve"> </w:t>
      </w:r>
      <w:r>
        <w:rPr>
          <w:rStyle w:val="FootnoteReference"/>
        </w:rPr>
        <w:footnoteReference w:id="617"/>
      </w:r>
      <w:r>
        <w:rPr/>
        <w:t xml:space="preserve"> </w:t>
      </w:r>
      <w:r>
        <w:rPr>
          <w:rStyle w:val="FootnoteReference"/>
        </w:rPr>
        <w:footnoteReference w:id="618"/>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9"/>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20"/>
      </w:r>
      <w:r>
        <w:rPr/>
        <w:t xml:space="preserve"> was a name written, a </w:t>
      </w:r>
      <w:r>
        <w:rPr>
          <w:b w:val="1"/>
          <w:bCs w:val="1"/>
        </w:rPr>
        <w:t xml:space="preserve">mystery</w:t>
      </w:r>
      <w:r>
        <w:rPr/>
        <w:t xml:space="preserve"> </w:t>
      </w:r>
      <w:r>
        <w:rPr>
          <w:rStyle w:val="FootnoteReference"/>
        </w:rPr>
        <w:footnoteReference w:id="621"/>
      </w:r>
      <w:r>
        <w:rPr/>
        <w:t xml:space="preserve">, </w:t>
      </w:r>
      <w:r>
        <w:rPr>
          <w:b w:val="1"/>
          <w:bCs w:val="1"/>
        </w:rPr>
        <w:t xml:space="preserve">Babylon The Great, The Mother Of Harlots And Abominations Of The Earth</w:t>
      </w:r>
      <w:r>
        <w:rPr/>
        <w:t xml:space="preserve"> </w:t>
      </w:r>
      <w:r>
        <w:rPr>
          <w:rStyle w:val="FootnoteReference"/>
        </w:rPr>
        <w:footnoteReference w:id="622"/>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3"/>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4"/>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5"/>
      </w:r>
      <w:r>
        <w:rPr/>
        <w:t xml:space="preserve"> </w:t>
      </w:r>
      <w:r>
        <w:rPr>
          <w:rStyle w:val="FootnoteReference"/>
        </w:rPr>
        <w:footnoteReference w:id="626"/>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7"/>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8"/>
      </w:r>
      <w:r>
        <w:rPr/>
        <w:t xml:space="preserve"> </w:t>
      </w:r>
      <w:r>
        <w:rPr>
          <w:rStyle w:val="FootnoteReference"/>
        </w:rPr>
        <w:footnoteReference w:id="629"/>
      </w:r>
      <w:r>
        <w:rPr/>
        <w:t xml:space="preserve">, and go into </w:t>
      </w:r>
      <w:r>
        <w:rPr>
          <w:b w:val="1"/>
          <w:bCs w:val="1"/>
        </w:rPr>
        <w:t xml:space="preserve">perdition</w:t>
      </w:r>
      <w:r>
        <w:rPr/>
        <w:t xml:space="preserve"> </w:t>
      </w:r>
      <w:r>
        <w:rPr>
          <w:rStyle w:val="FootnoteReference"/>
        </w:rPr>
        <w:footnoteReference w:id="630"/>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1"/>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2"/>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3"/>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4"/>
      </w:r>
      <w:r>
        <w:rPr/>
        <w:t xml:space="preserve"> </w:t>
      </w:r>
      <w:r>
        <w:rPr>
          <w:rStyle w:val="FootnoteReference"/>
        </w:rPr>
        <w:footnoteReference w:id="635"/>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6"/>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7"/>
      </w:r>
      <w:r>
        <w:rPr/>
        <w:t xml:space="preserve">, even he is the eighth, and is of the seven, and goes into </w:t>
      </w:r>
      <w:r>
        <w:rPr>
          <w:b w:val="1"/>
          <w:bCs w:val="1"/>
        </w:rPr>
        <w:t xml:space="preserve">perdition</w:t>
      </w:r>
      <w:r>
        <w:rPr/>
        <w:t xml:space="preserve"> </w:t>
      </w:r>
      <w:r>
        <w:rPr>
          <w:rStyle w:val="FootnoteReference"/>
        </w:rPr>
        <w:footnoteReference w:id="638"/>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9"/>
      </w:r>
      <w:r>
        <w:rPr/>
        <w:t xml:space="preserve">, who have received no kingdom as yet; but receive power as kings </w:t>
      </w:r>
      <w:r>
        <w:rPr>
          <w:b w:val="1"/>
          <w:bCs w:val="1"/>
        </w:rPr>
        <w:t xml:space="preserve">one hour</w:t>
      </w:r>
      <w:r>
        <w:rPr/>
        <w:t xml:space="preserve"> </w:t>
      </w:r>
      <w:r>
        <w:rPr>
          <w:rStyle w:val="FootnoteReference"/>
        </w:rPr>
        <w:footnoteReference w:id="640"/>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1"/>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2"/>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3"/>
      </w:r>
      <w:r>
        <w:rPr/>
        <w:t xml:space="preserve">: and they that are with him are </w:t>
      </w:r>
      <w:r>
        <w:rPr>
          <w:b w:val="1"/>
          <w:bCs w:val="1"/>
        </w:rPr>
        <w:t xml:space="preserve">called, and chosen, and faithful</w:t>
      </w:r>
      <w:r>
        <w:rPr/>
        <w:t xml:space="preserve"> </w:t>
      </w:r>
      <w:r>
        <w:rPr>
          <w:rStyle w:val="FootnoteReference"/>
        </w:rPr>
        <w:footnoteReference w:id="644"/>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5"/>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6"/>
      </w:r>
      <w:r>
        <w:rPr/>
        <w:t xml:space="preserve"> </w:t>
      </w:r>
      <w:r>
        <w:rPr>
          <w:rStyle w:val="FootnoteReference"/>
        </w:rPr>
        <w:footnoteReference w:id="647"/>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8"/>
      </w:r>
      <w:r>
        <w:rPr/>
        <w:t xml:space="preserve">, and </w:t>
      </w:r>
      <w:r>
        <w:rPr>
          <w:b w:val="1"/>
          <w:bCs w:val="1"/>
        </w:rPr>
        <w:t xml:space="preserve">to agree, and give their kingdom unto the beast</w:t>
      </w:r>
      <w:r>
        <w:rPr/>
        <w:t xml:space="preserve"> </w:t>
      </w:r>
      <w:r>
        <w:rPr>
          <w:rStyle w:val="FootnoteReference"/>
        </w:rPr>
        <w:footnoteReference w:id="649"/>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50"/>
      </w:r>
      <w:r>
        <w:rPr/>
        <w:t xml:space="preserve"> </w:t>
      </w:r>
      <w:r>
        <w:rPr>
          <w:rStyle w:val="FootnoteReference"/>
        </w:rPr>
        <w:footnoteReference w:id="651"/>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2"/>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3"/>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4"/>
      </w:r>
      <w:r>
        <w:rPr>
          <w:color w:val="4A6FA5"/>
          <w:sz w:val="18"/>
          <w:szCs w:val="18"/>
        </w:rPr>
        <w:t xml:space="preserve">) </w:t>
      </w:r>
      <w:r>
        <w:rPr/>
        <w:t xml:space="preserve"> </w:t>
      </w:r>
      <w:r>
        <w:rPr>
          <w:rStyle w:val="FootnoteReference"/>
        </w:rPr>
        <w:footnoteReference w:id="655"/>
      </w:r>
      <w:r>
        <w:rPr/>
        <w:t xml:space="preserve"> </w:t>
      </w:r>
      <w:r>
        <w:rPr>
          <w:rStyle w:val="FootnoteReference"/>
        </w:rPr>
        <w:footnoteReference w:id="656"/>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7"/>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8"/>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9"/>
      </w:r>
      <w:r>
        <w:rPr>
          <w:color w:val="4A6FA5"/>
          <w:sz w:val="18"/>
          <w:szCs w:val="18"/>
        </w:rPr>
        <w:t xml:space="preserve">) </w:t>
      </w:r>
      <w:r>
        <w:rPr/>
        <w:t xml:space="preserve"> </w:t>
      </w:r>
      <w:r>
        <w:rPr>
          <w:rStyle w:val="FootnoteReference"/>
        </w:rPr>
        <w:footnoteReference w:id="660"/>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1"/>
      </w:r>
      <w:r>
        <w:rPr/>
        <w:t xml:space="preserve">: in the cup which she has filled fill to her double. </w:t>
      </w:r>
      <w:r>
        <w:rPr>
          <w:rStyle w:val="FootnoteReference"/>
        </w:rPr>
        <w:footnoteReference w:id="662"/>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3"/>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4"/>
      </w:r>
      <w:r>
        <w:rPr/>
        <w:t xml:space="preserve">: for strong is the </w:t>
      </w:r>
      <w:r>
        <w:rPr>
          <w:b w:val="1"/>
          <w:bCs w:val="1"/>
        </w:rPr>
        <w:t xml:space="preserve">Lord God who judges her</w:t>
      </w:r>
      <w:r>
        <w:rPr/>
        <w:t xml:space="preserve"> </w:t>
      </w:r>
      <w:r>
        <w:rPr>
          <w:rStyle w:val="FootnoteReference"/>
        </w:rPr>
        <w:footnoteReference w:id="665"/>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6"/>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7"/>
      </w:r>
      <w:r>
        <w:rPr/>
        <w:t xml:space="preserve"> </w:t>
      </w:r>
      <w:r>
        <w:rPr>
          <w:rStyle w:val="FootnoteReference"/>
        </w:rPr>
        <w:footnoteReference w:id="668"/>
      </w:r>
      <w:r>
        <w:rPr/>
        <w:t xml:space="preserve"> , that strong city! for in </w:t>
      </w:r>
      <w:r>
        <w:rPr>
          <w:b w:val="1"/>
          <w:bCs w:val="1"/>
        </w:rPr>
        <w:t xml:space="preserve">one hour</w:t>
      </w:r>
      <w:r>
        <w:rPr/>
        <w:t xml:space="preserve"> </w:t>
      </w:r>
      <w:r>
        <w:rPr>
          <w:rStyle w:val="FootnoteReference"/>
        </w:rPr>
        <w:footnoteReference w:id="669"/>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70"/>
      </w:r>
      <w:r>
        <w:rPr/>
        <w:t xml:space="preserve">. </w:t>
      </w:r>
      <w:r>
        <w:rPr>
          <w:rStyle w:val="FootnoteReference"/>
        </w:rPr>
        <w:footnoteReference w:id="671"/>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2"/>
      </w:r>
      <w:r>
        <w:rPr/>
        <w:t xml:space="preserve"> </w:t>
      </w:r>
      <w:r>
        <w:rPr>
          <w:rStyle w:val="FootnoteReference"/>
        </w:rPr>
        <w:footnoteReference w:id="673"/>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4"/>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5"/>
      </w:r>
      <w:r>
        <w:rPr/>
        <w:t xml:space="preserve">, saying, What city is like unto this </w:t>
      </w:r>
      <w:r>
        <w:rPr>
          <w:b w:val="1"/>
          <w:bCs w:val="1"/>
        </w:rPr>
        <w:t xml:space="preserve">great city</w:t>
      </w:r>
      <w:r>
        <w:rPr/>
        <w:t xml:space="preserve"> </w:t>
      </w:r>
      <w:r>
        <w:rPr>
          <w:rStyle w:val="FootnoteReference"/>
        </w:rPr>
        <w:footnoteReference w:id="676"/>
      </w:r>
      <w:r>
        <w:rPr/>
        <w:t xml:space="preserve"> </w:t>
      </w:r>
      <w:r>
        <w:rPr>
          <w:rStyle w:val="FootnoteReference"/>
        </w:rPr>
        <w:footnoteReference w:id="677"/>
      </w:r>
      <w:r>
        <w:rPr/>
        <w:t xml:space="preserve"> </w:t>
      </w:r>
      <w:r>
        <w:rPr>
          <w:rStyle w:val="FootnoteReference"/>
        </w:rPr>
        <w:footnoteReference w:id="678"/>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9"/>
      </w:r>
      <w:r>
        <w:rPr/>
        <w:t xml:space="preserve"> </w:t>
      </w:r>
      <w:r>
        <w:rPr>
          <w:rStyle w:val="FootnoteReference"/>
        </w:rPr>
        <w:footnoteReference w:id="680"/>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1"/>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2"/>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3"/>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4"/>
      </w:r>
      <w:r>
        <w:rPr/>
        <w:t xml:space="preserve"> took up </w:t>
      </w:r>
      <w:r>
        <w:rPr>
          <w:b w:val="1"/>
          <w:bCs w:val="1"/>
        </w:rPr>
        <w:t xml:space="preserve">a stone like a great millstone, and cast it into the sea</w:t>
      </w:r>
      <w:r>
        <w:rPr/>
        <w:t xml:space="preserve"> </w:t>
      </w:r>
      <w:r>
        <w:rPr>
          <w:rStyle w:val="FootnoteReference"/>
        </w:rPr>
        <w:footnoteReference w:id="685"/>
      </w:r>
      <w:r>
        <w:rPr/>
        <w:t xml:space="preserve">, saying, So with violence shall that </w:t>
      </w:r>
      <w:r>
        <w:rPr>
          <w:b w:val="1"/>
          <w:bCs w:val="1"/>
        </w:rPr>
        <w:t xml:space="preserve">great city Babylon</w:t>
      </w:r>
      <w:r>
        <w:rPr/>
        <w:t xml:space="preserve"> </w:t>
      </w:r>
      <w:r>
        <w:rPr>
          <w:rStyle w:val="FootnoteReference"/>
        </w:rPr>
        <w:footnoteReference w:id="686"/>
      </w:r>
      <w:r>
        <w:rPr/>
        <w:t xml:space="preserve"> be thrown down, and shall be </w:t>
      </w:r>
      <w:r>
        <w:rPr>
          <w:b w:val="1"/>
          <w:bCs w:val="1"/>
        </w:rPr>
        <w:t xml:space="preserve">found no more at all</w:t>
      </w:r>
      <w:r>
        <w:rPr/>
        <w:t xml:space="preserve"> </w:t>
      </w:r>
      <w:r>
        <w:rPr>
          <w:rStyle w:val="FootnoteReference"/>
        </w:rPr>
        <w:footnoteReference w:id="687"/>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8"/>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9"/>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90"/>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1"/>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2"/>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3"/>
      </w:r>
      <w:r>
        <w:rPr/>
        <w:t xml:space="preserve">, saying, </w:t>
      </w:r>
      <w:r>
        <w:rPr>
          <w:b w:val="1"/>
          <w:bCs w:val="1"/>
        </w:rPr>
        <w:t xml:space="preserve">Alleluia</w:t>
      </w:r>
      <w:r>
        <w:rPr/>
        <w:t xml:space="preserve"> </w:t>
      </w:r>
      <w:r>
        <w:rPr>
          <w:rStyle w:val="FootnoteReference"/>
        </w:rPr>
        <w:footnoteReference w:id="694"/>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5"/>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6"/>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7"/>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8"/>
      </w:r>
      <w:r>
        <w:rPr/>
        <w:t xml:space="preserve">. And </w:t>
      </w:r>
      <w:r>
        <w:rPr>
          <w:b w:val="1"/>
          <w:bCs w:val="1"/>
        </w:rPr>
        <w:t xml:space="preserve">her smoke ascends forever and ever</w:t>
      </w:r>
      <w:r>
        <w:rPr/>
        <w:t xml:space="preserve"> </w:t>
      </w:r>
      <w:r>
        <w:rPr>
          <w:rStyle w:val="FootnoteReference"/>
        </w:rPr>
        <w:footnoteReference w:id="699"/>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00"/>
      </w:r>
      <w:r>
        <w:rPr/>
        <w:t xml:space="preserve"> and the four </w:t>
      </w:r>
      <w:r>
        <w:rPr>
          <w:b w:val="1"/>
          <w:bCs w:val="1"/>
        </w:rPr>
        <w:t xml:space="preserve">beasts</w:t>
      </w:r>
      <w:r>
        <w:rPr/>
        <w:t xml:space="preserve"> </w:t>
      </w:r>
      <w:r>
        <w:rPr>
          <w:rStyle w:val="FootnoteReference"/>
        </w:rPr>
        <w:footnoteReference w:id="701"/>
      </w:r>
      <w:r>
        <w:rPr/>
        <w:t xml:space="preserve"> fell down and worshipped God who sat on the throne, saying, Amen; </w:t>
      </w:r>
      <w:r>
        <w:rPr>
          <w:b w:val="1"/>
          <w:bCs w:val="1"/>
        </w:rPr>
        <w:t xml:space="preserve">Alleluia</w:t>
      </w:r>
      <w:r>
        <w:rPr/>
        <w:t xml:space="preserve"> </w:t>
      </w:r>
      <w:r>
        <w:rPr>
          <w:rStyle w:val="FootnoteReference"/>
        </w:rPr>
        <w:footnoteReference w:id="702"/>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3"/>
      </w:r>
      <w:r>
        <w:rPr/>
        <w:t xml:space="preserve">, saying, Praise our God, all you his servants, and all you who </w:t>
      </w:r>
      <w:r>
        <w:rPr>
          <w:b w:val="1"/>
          <w:bCs w:val="1"/>
        </w:rPr>
        <w:t xml:space="preserve">fear him</w:t>
      </w:r>
      <w:r>
        <w:rPr/>
        <w:t xml:space="preserve"> </w:t>
      </w:r>
      <w:r>
        <w:rPr>
          <w:rStyle w:val="FootnoteReference"/>
        </w:rPr>
        <w:footnoteReference w:id="704"/>
      </w:r>
      <w:r>
        <w:rPr/>
        <w:t xml:space="preserve">, both </w:t>
      </w:r>
      <w:r>
        <w:rPr>
          <w:b w:val="1"/>
          <w:bCs w:val="1"/>
        </w:rPr>
        <w:t xml:space="preserve">small and great</w:t>
      </w:r>
      <w:r>
        <w:rPr/>
        <w:t xml:space="preserve"> </w:t>
      </w:r>
      <w:r>
        <w:rPr>
          <w:rStyle w:val="FootnoteReference"/>
        </w:rPr>
        <w:footnoteReference w:id="705"/>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6"/>
      </w:r>
      <w:r>
        <w:rPr/>
        <w:t xml:space="preserve">, and as the </w:t>
      </w:r>
      <w:r>
        <w:rPr>
          <w:b w:val="1"/>
          <w:bCs w:val="1"/>
        </w:rPr>
        <w:t xml:space="preserve">voice of many waters</w:t>
      </w:r>
      <w:r>
        <w:rPr/>
        <w:t xml:space="preserve"> </w:t>
      </w:r>
      <w:r>
        <w:rPr>
          <w:rStyle w:val="FootnoteReference"/>
        </w:rPr>
        <w:footnoteReference w:id="707"/>
      </w:r>
      <w:r>
        <w:rPr/>
        <w:t xml:space="preserve">, and as the voice of </w:t>
      </w:r>
      <w:r>
        <w:rPr>
          <w:b w:val="1"/>
          <w:bCs w:val="1"/>
        </w:rPr>
        <w:t xml:space="preserve">strong thunders</w:t>
      </w:r>
      <w:r>
        <w:rPr/>
        <w:t xml:space="preserve"> </w:t>
      </w:r>
      <w:r>
        <w:rPr>
          <w:rStyle w:val="FootnoteReference"/>
        </w:rPr>
        <w:footnoteReference w:id="708"/>
      </w:r>
      <w:r>
        <w:rPr/>
        <w:t xml:space="preserve">, saying, </w:t>
      </w:r>
      <w:r>
        <w:rPr>
          <w:b w:val="1"/>
          <w:bCs w:val="1"/>
        </w:rPr>
        <w:t xml:space="preserve">Alleluia</w:t>
      </w:r>
      <w:r>
        <w:rPr/>
        <w:t xml:space="preserve"> </w:t>
      </w:r>
      <w:r>
        <w:rPr>
          <w:rStyle w:val="FootnoteReference"/>
        </w:rPr>
        <w:footnoteReference w:id="709"/>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10"/>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1"/>
      </w:r>
      <w:r>
        <w:rPr/>
        <w:t xml:space="preserve">: </w:t>
      </w:r>
      <w:r>
        <w:rPr>
          <w:b w:val="1"/>
          <w:bCs w:val="1"/>
        </w:rPr>
        <w:t xml:space="preserve">for the fine linen is the righteousness of saints</w:t>
      </w:r>
      <w:r>
        <w:rPr/>
        <w:t xml:space="preserve"> </w:t>
      </w:r>
      <w:r>
        <w:rPr>
          <w:rStyle w:val="FootnoteReference"/>
        </w:rPr>
        <w:footnoteReference w:id="712"/>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3"/>
      </w:r>
      <w:r>
        <w:rPr/>
        <w:t xml:space="preserve">, </w:t>
      </w:r>
      <w:r>
        <w:rPr>
          <w:b w:val="1"/>
          <w:bCs w:val="1"/>
        </w:rPr>
        <w:t xml:space="preserve">Blessed</w:t>
      </w:r>
      <w:r>
        <w:rPr/>
        <w:t xml:space="preserve"> </w:t>
      </w:r>
      <w:r>
        <w:rPr>
          <w:rStyle w:val="FootnoteReference"/>
        </w:rPr>
        <w:footnoteReference w:id="714"/>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5"/>
      </w:r>
      <w:r>
        <w:rPr/>
        <w:t xml:space="preserve">. And he said unto me, See you do it not: I am thy fellowservant, and of thy </w:t>
      </w:r>
      <w:r>
        <w:rPr>
          <w:b w:val="1"/>
          <w:bCs w:val="1"/>
        </w:rPr>
        <w:t xml:space="preserve">brethren</w:t>
      </w:r>
      <w:r>
        <w:rPr/>
        <w:t xml:space="preserve"> </w:t>
      </w:r>
      <w:r>
        <w:rPr>
          <w:rStyle w:val="FootnoteReference"/>
        </w:rPr>
        <w:footnoteReference w:id="716"/>
      </w:r>
      <w:r>
        <w:rPr/>
        <w:t xml:space="preserve"> who have the </w:t>
      </w:r>
      <w:r>
        <w:rPr>
          <w:b w:val="1"/>
          <w:bCs w:val="1"/>
        </w:rPr>
        <w:t xml:space="preserve">testimony of Jesus</w:t>
      </w:r>
      <w:r>
        <w:rPr/>
        <w:t xml:space="preserve"> </w:t>
      </w:r>
      <w:r>
        <w:rPr>
          <w:rStyle w:val="FootnoteReference"/>
        </w:rPr>
        <w:footnoteReference w:id="717"/>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8"/>
      </w:r>
      <w:r>
        <w:rPr/>
        <w:t xml:space="preserve"> </w:t>
      </w:r>
      <w:r>
        <w:rPr>
          <w:color w:val="4A6FA5"/>
          <w:sz w:val="18"/>
          <w:szCs w:val="18"/>
        </w:rPr>
        <w:t xml:space="preserve"> (hb</w:t>
      </w:r>
      <w:r>
        <w:rPr>
          <w:rStyle w:val="FootnoteReference"/>
        </w:rPr>
        <w:footnoteReference w:id="719"/>
      </w:r>
      <w:r>
        <w:rPr>
          <w:color w:val="4A6FA5"/>
          <w:sz w:val="18"/>
          <w:szCs w:val="18"/>
        </w:rPr>
        <w:t xml:space="preserve">) </w:t>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20"/>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21"/>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2"/>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23"/>
      </w:r>
      <w:r>
        <w:rPr>
          <w:color w:val="4A6FA5"/>
          <w:sz w:val="18"/>
          <w:szCs w:val="18"/>
        </w:rPr>
        <w:t xml:space="preserve">) </w:t>
      </w:r>
      <w:r>
        <w:rPr/>
        <w:t xml:space="preserve"> </w:t>
      </w:r>
      <w:r>
        <w:rPr>
          <w:rStyle w:val="FootnoteReference"/>
        </w:rPr>
        <w:footnoteReference w:id="724"/>
      </w:r>
      <w:r>
        <w:rPr/>
        <w:t xml:space="preserve"> </w:t>
      </w:r>
      <w:r>
        <w:rPr>
          <w:rStyle w:val="FootnoteReference"/>
        </w:rPr>
        <w:footnoteReference w:id="725"/>
      </w:r>
      <w:r>
        <w:rPr/>
        <w:t xml:space="preserve"> </w:t>
      </w:r>
      <w:r>
        <w:rPr>
          <w:rStyle w:val="FootnoteReference"/>
        </w:rPr>
        <w:footnoteReference w:id="726"/>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7"/>
      </w:r>
      <w:r>
        <w:rPr/>
        <w:t xml:space="preserve">, that with it he should smite the nations: and he shall rule them with a </w:t>
      </w:r>
      <w:r>
        <w:rPr>
          <w:b w:val="1"/>
          <w:bCs w:val="1"/>
        </w:rPr>
        <w:t xml:space="preserve">rod of iron</w:t>
      </w:r>
      <w:r>
        <w:rPr/>
        <w:t xml:space="preserve"> </w:t>
      </w:r>
      <w:r>
        <w:rPr>
          <w:rStyle w:val="FootnoteReference"/>
        </w:rPr>
        <w:footnoteReference w:id="728"/>
      </w:r>
      <w:r>
        <w:rPr/>
        <w:t xml:space="preserve">: and he </w:t>
      </w:r>
      <w:r>
        <w:rPr>
          <w:b w:val="1"/>
          <w:bCs w:val="1"/>
        </w:rPr>
        <w:t xml:space="preserve">treads</w:t>
      </w:r>
      <w:r>
        <w:rPr/>
        <w:t xml:space="preserve"> </w:t>
      </w:r>
      <w:r>
        <w:rPr>
          <w:rStyle w:val="FootnoteReference"/>
        </w:rPr>
        <w:footnoteReference w:id="729"/>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30"/>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31"/>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32"/>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3"/>
      </w:r>
      <w:r>
        <w:rPr/>
        <w:t xml:space="preserve"> before him, with which he deceived those who had received the </w:t>
      </w:r>
      <w:r>
        <w:rPr>
          <w:b w:val="1"/>
          <w:bCs w:val="1"/>
        </w:rPr>
        <w:t xml:space="preserve">mark</w:t>
      </w:r>
      <w:r>
        <w:rPr/>
        <w:t xml:space="preserve"> </w:t>
      </w:r>
      <w:r>
        <w:rPr>
          <w:rStyle w:val="FootnoteReference"/>
        </w:rPr>
        <w:footnoteReference w:id="734"/>
      </w:r>
      <w:r>
        <w:rPr/>
        <w:t xml:space="preserve"> of the beast, and those who worshipped his </w:t>
      </w:r>
      <w:r>
        <w:rPr>
          <w:b w:val="1"/>
          <w:bCs w:val="1"/>
        </w:rPr>
        <w:t xml:space="preserve">image</w:t>
      </w:r>
      <w:r>
        <w:rPr/>
        <w:t xml:space="preserve"> </w:t>
      </w:r>
      <w:r>
        <w:rPr>
          <w:rStyle w:val="FootnoteReference"/>
        </w:rPr>
        <w:footnoteReference w:id="735"/>
      </w:r>
      <w:r>
        <w:rPr/>
        <w:t xml:space="preserve">. These two were cast alive into a </w:t>
      </w:r>
      <w:r>
        <w:rPr>
          <w:b w:val="1"/>
          <w:bCs w:val="1"/>
        </w:rPr>
        <w:t xml:space="preserve">lake of fire</w:t>
      </w:r>
      <w:r>
        <w:rPr/>
        <w:t xml:space="preserve"> </w:t>
      </w:r>
      <w:r>
        <w:rPr>
          <w:rStyle w:val="FootnoteReference"/>
        </w:rPr>
        <w:footnoteReference w:id="736"/>
      </w:r>
      <w:r>
        <w:rPr/>
        <w:t xml:space="preserve"> </w:t>
      </w:r>
      <w:r>
        <w:rPr>
          <w:rStyle w:val="FootnoteReference"/>
        </w:rPr>
        <w:footnoteReference w:id="737"/>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8"/>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9"/>
      </w:r>
      <w:r>
        <w:rPr/>
        <w:t xml:space="preserve"> of the </w:t>
      </w:r>
      <w:r>
        <w:rPr>
          <w:b w:val="1"/>
          <w:bCs w:val="1"/>
        </w:rPr>
        <w:t xml:space="preserve">bottomless pit</w:t>
      </w:r>
      <w:r>
        <w:rPr/>
        <w:t xml:space="preserve"> </w:t>
      </w:r>
      <w:r>
        <w:rPr>
          <w:rStyle w:val="FootnoteReference"/>
        </w:rPr>
        <w:footnoteReference w:id="740"/>
      </w:r>
      <w:r>
        <w:rPr/>
        <w:t xml:space="preserve"> </w:t>
      </w:r>
      <w:r>
        <w:rPr>
          <w:rStyle w:val="FootnoteReference"/>
        </w:rPr>
        <w:footnoteReference w:id="741"/>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42"/>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3"/>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4"/>
      </w:r>
      <w:r>
        <w:rPr/>
        <w:t xml:space="preserve"> should be </w:t>
      </w:r>
      <w:r>
        <w:rPr>
          <w:b w:val="1"/>
          <w:bCs w:val="1"/>
        </w:rPr>
        <w:t xml:space="preserve">fulfilled</w:t>
      </w:r>
      <w:r>
        <w:rPr/>
        <w:t xml:space="preserve"> </w:t>
      </w:r>
      <w:r>
        <w:rPr>
          <w:rStyle w:val="FootnoteReference"/>
        </w:rPr>
        <w:footnoteReference w:id="745"/>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6"/>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7"/>
      </w:r>
      <w:r>
        <w:rPr/>
        <w:t xml:space="preserve">, neither his </w:t>
      </w:r>
      <w:r>
        <w:rPr>
          <w:b w:val="1"/>
          <w:bCs w:val="1"/>
        </w:rPr>
        <w:t xml:space="preserve">image</w:t>
      </w:r>
      <w:r>
        <w:rPr/>
        <w:t xml:space="preserve"> </w:t>
      </w:r>
      <w:r>
        <w:rPr>
          <w:rStyle w:val="FootnoteReference"/>
        </w:rPr>
        <w:footnoteReference w:id="748"/>
      </w:r>
      <w:r>
        <w:rPr/>
        <w:t xml:space="preserve">, nor had received his </w:t>
      </w:r>
      <w:r>
        <w:rPr>
          <w:b w:val="1"/>
          <w:bCs w:val="1"/>
        </w:rPr>
        <w:t xml:space="preserve">mark</w:t>
      </w:r>
      <w:r>
        <w:rPr/>
        <w:t xml:space="preserve"> </w:t>
      </w:r>
      <w:r>
        <w:rPr>
          <w:rStyle w:val="FootnoteReference"/>
        </w:rPr>
        <w:footnoteReference w:id="749"/>
      </w:r>
      <w:r>
        <w:rPr/>
        <w:t xml:space="preserve"> upon their </w:t>
      </w:r>
      <w:r>
        <w:rPr>
          <w:b w:val="1"/>
          <w:bCs w:val="1"/>
        </w:rPr>
        <w:t xml:space="preserve">foreheads</w:t>
      </w:r>
      <w:r>
        <w:rPr/>
        <w:t xml:space="preserve"> </w:t>
      </w:r>
      <w:r>
        <w:rPr>
          <w:rStyle w:val="FootnoteReference"/>
        </w:rPr>
        <w:footnoteReference w:id="750"/>
      </w:r>
      <w:r>
        <w:rPr/>
        <w:t xml:space="preserve">, or in their hands; and they lived and reigned with Christ a </w:t>
      </w:r>
      <w:r>
        <w:rPr>
          <w:b w:val="1"/>
          <w:bCs w:val="1"/>
        </w:rPr>
        <w:t xml:space="preserve">thousand years</w:t>
      </w:r>
      <w:r>
        <w:rPr/>
        <w:t xml:space="preserve"> </w:t>
      </w:r>
      <w:r>
        <w:rPr>
          <w:rStyle w:val="FootnoteReference"/>
        </w:rPr>
        <w:footnoteReference w:id="751"/>
      </w:r>
      <w:r>
        <w:rPr/>
        <w:t xml:space="preserve"> </w:t>
      </w:r>
      <w:r>
        <w:rPr>
          <w:rStyle w:val="FootnoteReference"/>
        </w:rPr>
        <w:footnoteReference w:id="752"/>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3"/>
      </w:r>
      <w:r>
        <w:rPr/>
        <w:t xml:space="preserve"> </w:t>
      </w:r>
      <w:r>
        <w:rPr>
          <w:rStyle w:val="FootnoteReference"/>
        </w:rPr>
        <w:footnoteReference w:id="754"/>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5"/>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6"/>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7"/>
      </w:r>
      <w:r>
        <w:rPr/>
        <w:t xml:space="preserve"> are expired, Satan shall be loosed out of his </w:t>
      </w:r>
      <w:r>
        <w:rPr>
          <w:b w:val="1"/>
          <w:bCs w:val="1"/>
        </w:rPr>
        <w:t xml:space="preserve">prison</w:t>
      </w:r>
      <w:r>
        <w:rPr/>
        <w:t xml:space="preserve"> </w:t>
      </w:r>
      <w:r>
        <w:rPr>
          <w:rStyle w:val="FootnoteReference"/>
        </w:rPr>
        <w:footnoteReference w:id="758"/>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9"/>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60"/>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61"/>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62"/>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3"/>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4"/>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5"/>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6"/>
      </w:r>
      <w:r>
        <w:rPr/>
        <w:t xml:space="preserve"> were cast into the </w:t>
      </w:r>
      <w:r>
        <w:rPr>
          <w:b w:val="1"/>
          <w:bCs w:val="1"/>
        </w:rPr>
        <w:t xml:space="preserve">lake of fire</w:t>
      </w:r>
      <w:r>
        <w:rPr/>
        <w:t xml:space="preserve"> </w:t>
      </w:r>
      <w:r>
        <w:rPr>
          <w:rStyle w:val="FootnoteReference"/>
        </w:rPr>
        <w:footnoteReference w:id="767"/>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8"/>
      </w:r>
      <w:r>
        <w:rPr/>
        <w:t xml:space="preserve"> was cast into </w:t>
      </w:r>
      <w:r>
        <w:rPr>
          <w:rStyle w:val="FootnoteReference"/>
        </w:rPr>
        <w:footnoteReference w:id="769"/>
      </w:r>
      <w:r>
        <w:rPr/>
        <w:t xml:space="preserve"> the </w:t>
      </w:r>
      <w:r>
        <w:rPr>
          <w:b w:val="1"/>
          <w:bCs w:val="1"/>
        </w:rPr>
        <w:t xml:space="preserve">lake of fire</w:t>
      </w:r>
      <w:r>
        <w:rPr/>
        <w:t xml:space="preserve"> </w:t>
      </w:r>
      <w:r>
        <w:rPr>
          <w:rStyle w:val="FootnoteReference"/>
        </w:rPr>
        <w:footnoteReference w:id="770"/>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71"/>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72"/>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3"/>
      </w:r>
      <w:r>
        <w:rPr/>
        <w:t xml:space="preserve"> saying, Behold, </w:t>
      </w:r>
      <w:r>
        <w:rPr>
          <w:b w:val="1"/>
          <w:bCs w:val="1"/>
        </w:rPr>
        <w:t xml:space="preserve">the tabernacle of God</w:t>
      </w:r>
      <w:r>
        <w:rPr/>
        <w:t xml:space="preserve"> </w:t>
      </w:r>
      <w:r>
        <w:rPr>
          <w:rStyle w:val="FootnoteReference"/>
        </w:rPr>
        <w:footnoteReference w:id="774"/>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5"/>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6"/>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7"/>
      </w:r>
      <w:r>
        <w:rPr/>
        <w:t xml:space="preserve">. I am </w:t>
      </w:r>
      <w:r>
        <w:rPr>
          <w:b w:val="1"/>
          <w:bCs w:val="1"/>
        </w:rPr>
        <w:t xml:space="preserve">Alpha and Omega, the beginning and the end</w:t>
      </w:r>
      <w:r>
        <w:rPr/>
        <w:t xml:space="preserve"> </w:t>
      </w:r>
      <w:r>
        <w:rPr>
          <w:rStyle w:val="FootnoteReference"/>
        </w:rPr>
        <w:footnoteReference w:id="778"/>
      </w:r>
      <w:r>
        <w:rPr/>
        <w:t xml:space="preserve">. I will give unto him that is </w:t>
      </w:r>
      <w:r>
        <w:rPr>
          <w:b w:val="1"/>
          <w:bCs w:val="1"/>
        </w:rPr>
        <w:t xml:space="preserve">athirst</w:t>
      </w:r>
      <w:r>
        <w:rPr/>
        <w:t xml:space="preserve"> </w:t>
      </w:r>
      <w:r>
        <w:rPr>
          <w:rStyle w:val="FootnoteReference"/>
        </w:rPr>
        <w:footnoteReference w:id="779"/>
      </w:r>
      <w:r>
        <w:rPr/>
        <w:t xml:space="preserve"> of the fountain of the </w:t>
      </w:r>
      <w:r>
        <w:rPr>
          <w:b w:val="1"/>
          <w:bCs w:val="1"/>
        </w:rPr>
        <w:t xml:space="preserve">water of life</w:t>
      </w:r>
      <w:r>
        <w:rPr/>
        <w:t xml:space="preserve"> </w:t>
      </w:r>
      <w:r>
        <w:rPr>
          <w:rStyle w:val="FootnoteReference"/>
        </w:rPr>
        <w:footnoteReference w:id="780"/>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81"/>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82"/>
      </w:r>
      <w:r>
        <w:rPr/>
        <w:t xml:space="preserve">, shall have their part in the lake which burns with </w:t>
      </w:r>
      <w:r>
        <w:rPr>
          <w:b w:val="1"/>
          <w:bCs w:val="1"/>
        </w:rPr>
        <w:t xml:space="preserve">fire and brimstone</w:t>
      </w:r>
      <w:r>
        <w:rPr/>
        <w:t xml:space="preserve"> </w:t>
      </w:r>
      <w:r>
        <w:rPr>
          <w:rStyle w:val="FootnoteReference"/>
        </w:rPr>
        <w:footnoteReference w:id="783"/>
      </w:r>
      <w:r>
        <w:rPr/>
        <w:t xml:space="preserve"> </w:t>
      </w:r>
      <w:r>
        <w:rPr>
          <w:rStyle w:val="FootnoteReference"/>
        </w:rPr>
        <w:footnoteReference w:id="784"/>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5"/>
      </w:r>
      <w:r>
        <w:rPr/>
        <w:t xml:space="preserve">, I will show you the </w:t>
      </w:r>
      <w:r>
        <w:rPr>
          <w:b w:val="1"/>
          <w:bCs w:val="1"/>
        </w:rPr>
        <w:t xml:space="preserve">bride, the wife of the Lamb</w:t>
      </w:r>
      <w:r>
        <w:rPr/>
        <w:t xml:space="preserve"> </w:t>
      </w:r>
      <w:r>
        <w:rPr>
          <w:rStyle w:val="FootnoteReference"/>
        </w:rPr>
        <w:footnoteReference w:id="786"/>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7"/>
      </w:r>
      <w:r>
        <w:rPr/>
        <w:t xml:space="preserve">, and showed me that</w:t>
      </w:r>
      <w:r>
        <w:rPr/>
        <w:t xml:space="preserve"> </w:t>
      </w:r>
      <w:r>
        <w:rPr>
          <w:b w:val="1"/>
          <w:bCs w:val="1"/>
        </w:rPr>
        <w:t xml:space="preserve">the holy city</w:t>
      </w:r>
      <w:r>
        <w:rPr/>
        <w:t xml:space="preserve"> </w:t>
      </w:r>
      <w:r>
        <w:rPr>
          <w:rStyle w:val="FootnoteReference"/>
        </w:rPr>
        <w:footnoteReference w:id="788"/>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9"/>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90"/>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91"/>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92"/>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3"/>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4"/>
      </w:r>
      <w:r>
        <w:rPr/>
        <w:t xml:space="preserve"> </w:t>
      </w:r>
      <w:r>
        <w:rPr>
          <w:rStyle w:val="FootnoteReference"/>
        </w:rPr>
        <w:footnoteReference w:id="795"/>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6"/>
      </w:r>
      <w:r>
        <w:rPr/>
        <w:t xml:space="preserve">: and the </w:t>
      </w:r>
      <w:r>
        <w:rPr>
          <w:b w:val="1"/>
          <w:bCs w:val="1"/>
        </w:rPr>
        <w:t xml:space="preserve">kings of the earth do bring their glory</w:t>
      </w:r>
      <w:r>
        <w:rPr/>
        <w:t xml:space="preserve"> </w:t>
      </w:r>
      <w:r>
        <w:rPr>
          <w:rStyle w:val="FootnoteReference"/>
        </w:rPr>
        <w:footnoteReference w:id="797"/>
      </w:r>
      <w:r>
        <w:rPr/>
        <w:t xml:space="preserve"> </w:t>
      </w:r>
      <w:r>
        <w:rPr>
          <w:rStyle w:val="FootnoteReference"/>
        </w:rPr>
        <w:footnoteReference w:id="798"/>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9"/>
      </w:r>
      <w:r>
        <w:rPr/>
        <w:t xml:space="preserve"> of the nations into it. </w:t>
      </w:r>
      <w:r>
        <w:rPr>
          <w:rStyle w:val="FootnoteReference"/>
        </w:rPr>
        <w:footnoteReference w:id="800"/>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801"/>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02"/>
      </w:r>
      <w:r>
        <w:rPr/>
        <w:t xml:space="preserve">, bright as crystal, proceeding out of the </w:t>
      </w:r>
      <w:r>
        <w:rPr>
          <w:b w:val="1"/>
          <w:bCs w:val="1"/>
        </w:rPr>
        <w:t xml:space="preserve">throne of God and of the Lamb</w:t>
      </w:r>
      <w:r>
        <w:rPr/>
        <w:t xml:space="preserve"> </w:t>
      </w:r>
      <w:r>
        <w:rPr>
          <w:rStyle w:val="FootnoteReference"/>
        </w:rPr>
        <w:footnoteReference w:id="803"/>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4"/>
      </w:r>
      <w:r>
        <w:rPr/>
        <w:t xml:space="preserve">, was there the </w:t>
      </w:r>
      <w:r>
        <w:rPr>
          <w:b w:val="1"/>
          <w:bCs w:val="1"/>
        </w:rPr>
        <w:t xml:space="preserve">tree of life</w:t>
      </w:r>
      <w:r>
        <w:rPr/>
        <w:t xml:space="preserve"> </w:t>
      </w:r>
      <w:r>
        <w:rPr>
          <w:rStyle w:val="FootnoteReference"/>
        </w:rPr>
        <w:footnoteReference w:id="805"/>
      </w:r>
      <w:r>
        <w:rPr/>
        <w:t xml:space="preserve">, with its twelve manner of fruits, and yielded its fruit every month: and the leaves of the tree were for the healing of the nations. </w:t>
      </w:r>
      <w:r>
        <w:rPr>
          <w:rStyle w:val="FootnoteReference"/>
        </w:rPr>
        <w:footnoteReference w:id="806"/>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7"/>
      </w:r>
      <w:r>
        <w:rPr/>
        <w:t xml:space="preserve">: but the </w:t>
      </w:r>
      <w:r>
        <w:rPr>
          <w:b w:val="1"/>
          <w:bCs w:val="1"/>
        </w:rPr>
        <w:t xml:space="preserve">throne of God and of the Lamb</w:t>
      </w:r>
      <w:r>
        <w:rPr/>
        <w:t xml:space="preserve"> shall be in it </w:t>
      </w:r>
      <w:r>
        <w:rPr>
          <w:rStyle w:val="FootnoteReference"/>
        </w:rPr>
        <w:footnoteReference w:id="808"/>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9"/>
      </w:r>
      <w:r>
        <w:rPr/>
        <w:t xml:space="preserve"> </w:t>
      </w:r>
      <w:r>
        <w:rPr>
          <w:rStyle w:val="FootnoteReference"/>
        </w:rPr>
        <w:footnoteReference w:id="810"/>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11"/>
      </w:r>
      <w:r>
        <w:rPr/>
        <w:t xml:space="preserve"> to show unto his servants the </w:t>
      </w:r>
      <w:r>
        <w:rPr>
          <w:b w:val="1"/>
          <w:bCs w:val="1"/>
        </w:rPr>
        <w:t xml:space="preserve">things which must shortly be done</w:t>
      </w:r>
      <w:r>
        <w:rPr/>
        <w:t xml:space="preserve"> </w:t>
      </w:r>
      <w:r>
        <w:rPr>
          <w:rStyle w:val="FootnoteReference"/>
        </w:rPr>
        <w:footnoteReference w:id="812"/>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3"/>
      </w:r>
      <w:r>
        <w:rPr/>
        <w:t xml:space="preserve">: </w:t>
      </w:r>
      <w:r>
        <w:rPr>
          <w:b w:val="1"/>
          <w:bCs w:val="1"/>
        </w:rPr>
        <w:t xml:space="preserve">blessed</w:t>
      </w:r>
      <w:r>
        <w:rPr/>
        <w:t xml:space="preserve"> </w:t>
      </w:r>
      <w:r>
        <w:rPr>
          <w:rStyle w:val="FootnoteReference"/>
        </w:rPr>
        <w:footnoteReference w:id="814"/>
      </w:r>
      <w:r>
        <w:rPr/>
        <w:t xml:space="preserve"> is he who keeps the sayings of the </w:t>
      </w:r>
      <w:r>
        <w:rPr>
          <w:b w:val="1"/>
          <w:bCs w:val="1"/>
        </w:rPr>
        <w:t xml:space="preserve">prophecy of this book</w:t>
      </w:r>
      <w:r>
        <w:rPr/>
        <w:t xml:space="preserve"> </w:t>
      </w:r>
      <w:r>
        <w:rPr>
          <w:rStyle w:val="FootnoteReference"/>
        </w:rPr>
        <w:footnoteReference w:id="815"/>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16"/>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7"/>
      </w:r>
      <w:r>
        <w:rPr/>
        <w:t xml:space="preserve"> the prophets, and of those who keep the </w:t>
      </w:r>
      <w:r>
        <w:rPr>
          <w:b w:val="1"/>
          <w:bCs w:val="1"/>
        </w:rPr>
        <w:t xml:space="preserve">sayings of this book</w:t>
      </w:r>
      <w:r>
        <w:rPr/>
        <w:t xml:space="preserve"> </w:t>
      </w:r>
      <w:r>
        <w:rPr>
          <w:rStyle w:val="FootnoteReference"/>
        </w:rPr>
        <w:footnoteReference w:id="818"/>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9"/>
      </w:r>
      <w:r>
        <w:rPr/>
        <w:t xml:space="preserve"> </w:t>
      </w:r>
      <w:r>
        <w:rPr>
          <w:rStyle w:val="FootnoteReference"/>
        </w:rPr>
        <w:footnoteReference w:id="820"/>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21"/>
      </w:r>
      <w:r>
        <w:rPr/>
        <w:t xml:space="preserve">; and my reward is with me, to give every man according as his </w:t>
      </w:r>
      <w:r>
        <w:rPr>
          <w:b w:val="1"/>
          <w:bCs w:val="1"/>
        </w:rPr>
        <w:t xml:space="preserve">work</w:t>
      </w:r>
      <w:r>
        <w:rPr/>
        <w:t xml:space="preserve"> shall be </w:t>
      </w:r>
      <w:r>
        <w:rPr>
          <w:rStyle w:val="FootnoteReference"/>
        </w:rPr>
        <w:footnoteReference w:id="822"/>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3"/>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4"/>
      </w:r>
      <w:r>
        <w:rPr/>
        <w:t xml:space="preserve"> are </w:t>
      </w:r>
      <w:r>
        <w:rPr>
          <w:b w:val="1"/>
          <w:bCs w:val="1"/>
        </w:rPr>
        <w:t xml:space="preserve">they who wash their robes</w:t>
      </w:r>
      <w:r>
        <w:rPr/>
        <w:t xml:space="preserve"> </w:t>
      </w:r>
      <w:r>
        <w:rPr>
          <w:rStyle w:val="FootnoteReference"/>
        </w:rPr>
        <w:footnoteReference w:id="825"/>
      </w:r>
      <w:r>
        <w:rPr/>
        <w:t xml:space="preserve">, that they may have right to the </w:t>
      </w:r>
      <w:r>
        <w:rPr>
          <w:b w:val="1"/>
          <w:bCs w:val="1"/>
        </w:rPr>
        <w:t xml:space="preserve">tree of life</w:t>
      </w:r>
      <w:r>
        <w:rPr/>
        <w:t xml:space="preserve"> </w:t>
      </w:r>
      <w:r>
        <w:rPr>
          <w:rStyle w:val="FootnoteReference"/>
        </w:rPr>
        <w:footnoteReference w:id="826"/>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7"/>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8"/>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9"/>
      </w:r>
      <w:r>
        <w:rPr/>
        <w:t xml:space="preserve">, and the bright and </w:t>
      </w:r>
      <w:r>
        <w:rPr>
          <w:b w:val="1"/>
          <w:bCs w:val="1"/>
        </w:rPr>
        <w:t xml:space="preserve">morning star</w:t>
      </w:r>
      <w:r>
        <w:rPr/>
        <w:t xml:space="preserve"> </w:t>
      </w:r>
      <w:r>
        <w:rPr>
          <w:rStyle w:val="FootnoteReference"/>
        </w:rPr>
        <w:footnoteReference w:id="830"/>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31"/>
      </w:r>
      <w:r>
        <w:rPr/>
        <w:t xml:space="preserve"> come. And whosoever will, let him take the </w:t>
      </w:r>
      <w:r>
        <w:rPr>
          <w:b w:val="1"/>
          <w:bCs w:val="1"/>
        </w:rPr>
        <w:t xml:space="preserve">water of life</w:t>
      </w:r>
      <w:r>
        <w:rPr/>
        <w:t xml:space="preserve"> </w:t>
      </w:r>
      <w:r>
        <w:rPr>
          <w:rStyle w:val="FootnoteReference"/>
        </w:rPr>
        <w:footnoteReference w:id="832"/>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3"/>
      </w:r>
      <w:r>
        <w:rPr/>
        <w:t xml:space="preserve">, God shall take away his part out of the </w:t>
      </w:r>
      <w:r>
        <w:rPr>
          <w:b w:val="1"/>
          <w:bCs w:val="1"/>
        </w:rPr>
        <w:t xml:space="preserve">tree of life</w:t>
      </w:r>
      <w:r>
        <w:rPr/>
        <w:t xml:space="preserve"> </w:t>
      </w:r>
      <w:r>
        <w:rPr>
          <w:rStyle w:val="FootnoteReference"/>
        </w:rPr>
        <w:footnoteReference w:id="834"/>
      </w:r>
      <w:r>
        <w:rPr/>
        <w:t xml:space="preserve">, and out of </w:t>
      </w:r>
      <w:r>
        <w:rPr>
          <w:b w:val="1"/>
          <w:bCs w:val="1"/>
        </w:rPr>
        <w:t xml:space="preserve">the holy city</w:t>
      </w:r>
      <w:r>
        <w:rPr/>
        <w:t xml:space="preserve"> </w:t>
      </w:r>
      <w:r>
        <w:rPr>
          <w:rStyle w:val="FootnoteReference"/>
        </w:rPr>
        <w:footnoteReference w:id="835"/>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6"/>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4">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6">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8">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9">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60">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2">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3">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8">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0">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2">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5">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7">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9">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8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1">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7">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8">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90">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1">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2">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7">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8">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00">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2">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3">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8">
    <w:p>
      <w:r>
        <w:rPr>
          <w:rStyle w:val="FootnoteReference"/>
        </w:rPr>
        <w:footnoteRef/>
      </w:r>
      <w:r>
        <w:t xml:space="preserve"> </w:t>
      </w:r>
      <w:r>
        <w:rPr>
          <w:sz w:val="18"/>
          <w:szCs w:val="18"/>
        </w:rPr>
        <w:t xml:space="preserve">[[Bible:Zechariah 2:7]]</w:t>
      </w:r>
    </w:p>
  </w:footnote>
  <w:footnote w:id="60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10">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5">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6">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9">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2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3">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30">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2">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6">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7">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8">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9">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4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2">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7">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8">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9">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5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2">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3">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4">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6">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9">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60">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2">
    <w:p>
      <w:r>
        <w:rPr>
          <w:rStyle w:val="FootnoteReference"/>
        </w:rPr>
        <w:footnoteRef/>
      </w:r>
      <w:r>
        <w:t xml:space="preserve"> </w:t>
      </w:r>
      <w:r>
        <w:rPr>
          <w:sz w:val="18"/>
          <w:szCs w:val="18"/>
        </w:rPr>
        <w:t xml:space="preserve">[[Bible:Jeremiah 17:18]]</w:t>
      </w:r>
    </w:p>
  </w:footnote>
  <w:footnote w:id="663">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5">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1">
    <w:p>
      <w:r>
        <w:rPr>
          <w:rStyle w:val="FootnoteReference"/>
        </w:rPr>
        <w:footnoteRef/>
      </w:r>
      <w:r>
        <w:t xml:space="preserve"> </w:t>
      </w:r>
      <w:r>
        <w:rPr>
          <w:sz w:val="18"/>
          <w:szCs w:val="18"/>
        </w:rPr>
        <w:t xml:space="preserve">[[Bible:Ezekiel 27]]</w:t>
      </w:r>
    </w:p>
  </w:footnote>
  <w:footnote w:id="67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4">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7">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1">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2">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3">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4">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5">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5">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7">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9">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0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9">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10">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5">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6">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9">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2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2">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3">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2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6">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9">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3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3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32">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3">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6">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7">
    <w:p>
      <w:r>
        <w:rPr>
          <w:rStyle w:val="FootnoteReference"/>
        </w:rPr>
        <w:footnoteRef/>
      </w:r>
      <w:r>
        <w:t xml:space="preserve"> </w:t>
      </w:r>
      <w:r>
        <w:rPr>
          <w:sz w:val="18"/>
          <w:szCs w:val="18"/>
        </w:rPr>
        <w:t xml:space="preserve">[[Bible:Daniel 7:11]]</w:t>
      </w:r>
    </w:p>
  </w:footnote>
  <w:footnote w:id="73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42">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9">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5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5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7">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6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6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7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7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72">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3">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4">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5">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6">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7">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9">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80">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8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82">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4">
    <w:p>
      <w:r>
        <w:rPr>
          <w:rStyle w:val="FootnoteReference"/>
        </w:rPr>
        <w:footnoteRef/>
      </w:r>
      <w:r>
        <w:t xml:space="preserve"> </w:t>
      </w:r>
      <w:r>
        <w:rPr>
          <w:sz w:val="18"/>
          <w:szCs w:val="18"/>
        </w:rPr>
        <w:t xml:space="preserve">[[Bible:Isaiah 60:18]]</w:t>
      </w:r>
    </w:p>
  </w:footnote>
  <w:footnote w:id="785">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6">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7">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90">
    <w:p>
      <w:r>
        <w:rPr>
          <w:rStyle w:val="FootnoteReference"/>
        </w:rPr>
        <w:footnoteRef/>
      </w:r>
      <w:r>
        <w:t xml:space="preserve"> </w:t>
      </w:r>
      <w:r>
        <w:rPr>
          <w:sz w:val="18"/>
          <w:szCs w:val="18"/>
        </w:rPr>
        <w:t xml:space="preserve">[[Bible:Isaiah 54:11-12]]</w:t>
      </w:r>
    </w:p>
  </w:footnote>
  <w:footnote w:id="791">
    <w:p>
      <w:r>
        <w:rPr>
          <w:rStyle w:val="FootnoteReference"/>
        </w:rPr>
        <w:footnoteRef/>
      </w:r>
      <w:r>
        <w:t xml:space="preserve"> </w:t>
      </w:r>
      <w:r>
        <w:rPr>
          <w:sz w:val="18"/>
          <w:szCs w:val="18"/>
        </w:rPr>
        <w:t xml:space="preserve">[[Bible:Isaiah 54:11-12]]</w:t>
      </w:r>
    </w:p>
  </w:footnote>
  <w:footnote w:id="792">
    <w:p>
      <w:r>
        <w:rPr>
          <w:rStyle w:val="FootnoteReference"/>
        </w:rPr>
        <w:footnoteRef/>
      </w:r>
      <w:r>
        <w:t xml:space="preserve"> </w:t>
      </w:r>
      <w:r>
        <w:rPr>
          <w:sz w:val="18"/>
          <w:szCs w:val="18"/>
        </w:rPr>
        <w:t xml:space="preserve">[[Bible:Isaiah 54:11-12]]</w:t>
      </w:r>
    </w:p>
  </w:footnote>
  <w:footnote w:id="793">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5">
    <w:p>
      <w:r>
        <w:rPr>
          <w:rStyle w:val="FootnoteReference"/>
        </w:rPr>
        <w:footnoteRef/>
      </w:r>
      <w:r>
        <w:t xml:space="preserve"> </w:t>
      </w:r>
      <w:r>
        <w:rPr>
          <w:sz w:val="18"/>
          <w:szCs w:val="18"/>
        </w:rPr>
        <w:t xml:space="preserve">[[Bible:Isaiah 60:19]]</w:t>
      </w:r>
    </w:p>
  </w:footnote>
  <w:footnote w:id="796">
    <w:p>
      <w:r>
        <w:rPr>
          <w:rStyle w:val="FootnoteReference"/>
        </w:rPr>
        <w:footnoteRef/>
      </w:r>
      <w:r>
        <w:t xml:space="preserve"> </w:t>
      </w:r>
      <w:r>
        <w:rPr>
          <w:sz w:val="18"/>
          <w:szCs w:val="18"/>
        </w:rPr>
        <w:t xml:space="preserve">[[Bible:Isaiah 60:20]]</w:t>
      </w:r>
    </w:p>
  </w:footnote>
  <w:footnote w:id="79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8">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00">
    <w:p>
      <w:r>
        <w:rPr>
          <w:rStyle w:val="FootnoteReference"/>
        </w:rPr>
        <w:footnoteRef/>
      </w:r>
      <w:r>
        <w:t xml:space="preserve"> </w:t>
      </w:r>
      <w:r>
        <w:rPr>
          <w:sz w:val="18"/>
          <w:szCs w:val="18"/>
        </w:rPr>
        <w:t xml:space="preserve">[[Bible:Isaiah 60:11]]</w:t>
      </w:r>
    </w:p>
  </w:footnote>
  <w:footnote w:id="80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0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4">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6">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7">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9">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1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1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1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6">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7">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20">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2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2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3">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5">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7">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30">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3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32">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6">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2026-04-23T13:37:42+00:00</dcterms:created>
  <dcterms:modified xsi:type="dcterms:W3CDTF">2026-04-23T13:37:42+00:00</dcterms:modified>
</cp:coreProperties>
</file>

<file path=docProps/custom.xml><?xml version="1.0" encoding="utf-8"?>
<Properties xmlns="http://schemas.openxmlformats.org/officeDocument/2006/custom-properties" xmlns:vt="http://schemas.openxmlformats.org/officeDocument/2006/docPropsVTypes"/>
</file>