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Revelation of Jesus Christ</w:t>
      </w:r>
      <w:bookmarkEnd w:id="0"/>
    </w:p>
    <w:p>
      <w:pPr>
        <w:pStyle w:val="Heading2"/>
      </w:pPr>
      <w:bookmarkStart w:id="1" w:name="_Toc1"/>
      <w:r>
        <w:t>Ἀποκάλυψις Ἰησοῦ Χριστοῦ</w:t>
      </w:r>
      <w:bookmarkEnd w:id="1"/>
    </w:p>
    <w:p>
      <w:pPr>
        <w:pStyle w:val="SectionBody"/>
      </w:pPr>
      <w:r>
        <w:rPr/>
        <w:t xml:space="preserve">The Book of Revelation was likely written by the Apostle John during his exile on Patmos near the end of Emperor Domitian’s reign, around A.D. 90 (commonly dated between A.D. 85–95), as affirmed by early church testimony (Irenaeus, Victorinus of Pettau, Eusebius, Jerome). While the exact year is uncertain, historical and textual evidence place its composition near the close of the 1st century. All existing manuscripts of the Book of Revelation are preserved in Greek, including early witnesses such as the Codices Sinaiticus and Alexandrinus. However, the text’s linguistic character is highly Semitic, displaying grammatical constructions, idioms, and patterns of parallelism that reflect a Hebrew or Aramaic texts. These features indicate that John was composing within that context. The book’s vocabulary and imagery draw heavily from the Hebrew Scriptures, giving Revelation a distinctly Jewish prophetic style.</w:t>
      </w:r>
    </w:p>
    <w:p>
      <w:pPr>
        <w:pStyle w:val="SectionBody"/>
      </w:pPr>
      <w:r>
        <w:rPr/>
        <w:t xml:space="preserve">[King James Revelation Modernized (KJRM)](/articles/why-the-kjrm.html) and [KJRM Interlinear](/kjrm-interlinear.html), produced by Kevin Dees, updated last April 15, 2026</w:t>
      </w:r>
    </w:p>
    <w:p>
      <w:pPr>
        <w:pStyle w:val="SectionBody"/>
      </w:pPr>
      <w:r>
        <w:rPr/>
        <w:t xml:space="preserve">[Having issues on mobile? Try the same study chapter-by-chapter to imporve usablility.](/kjrm-study/1.html)</w:t>
      </w:r>
    </w:p>
    <w:p>
      <w:pPr>
        <w:jc w:val="center"/>
        <w:spacing w:before="120" w:after="60"/>
      </w:pPr>
      <w:r>
        <w:rPr>
          <w:sz w:val="36"/>
          <w:szCs w:val="36"/>
          <w:b w:val="1"/>
          <w:bCs w:val="1"/>
        </w:rPr>
        <w:t xml:space="preserve">✶</w:t>
      </w:r>
    </w:p>
    <w:p>
      <w:pPr>
        <w:pStyle w:val="Heading2"/>
      </w:pPr>
      <w:bookmarkStart w:id="2" w:name="_Toc2"/>
      <w:r>
        <w:t>The Revelation of Jesus Christ to the Churches: Overcome</w:t>
      </w:r>
      <w:bookmarkEnd w:id="2"/>
    </w:p>
    <w:p>
      <w:pPr>
        <w:pStyle w:val="SectionBody"/>
      </w:pPr>
      <w:r>
        <w:rPr>
          <w:b w:val="1"/>
          <w:bCs w:val="1"/>
        </w:rPr>
        <w:t xml:space="preserve">Linear Scene 1.1</w:t>
      </w:r>
      <w:r>
        <w:rPr/>
        <w:t xml:space="preserve">: Jesus sent His messenger to John to share the end times signs, timeline, and church corrections and encouragements. This messenger appears to be a prophet based on Revelation 22:9. Jesus will speak to the seven churches, telling them all that to overcome, and we will see that call for the church to overcome again at the end in Revelation 21:7. This message is about the future, not past events. Things that “must shortly come to pass” and that Jesus will show John “things which must be hereafter”. This is a core understanding that must frame our interpretation of the text. The events John is witnessing have not yet taken place. The woman with 12 stars who gives birth is a future event. The fall of Mystery Babylon is a future event. The arrival of the New Jerusalem out of heaven is a future event.</w:t>
      </w:r>
    </w:p>
    <w:p>
      <w:pPr>
        <w:pStyle w:val="SectionBody"/>
      </w:pPr>
      <w:r>
        <w:rPr>
          <w:b w:val="1"/>
          <w:bCs w:val="1"/>
        </w:rPr>
        <w:t xml:space="preserve">Bookends</w:t>
      </w:r>
      <w:r>
        <w:rPr/>
        <w:t xml:space="preserve">: In the main story, we have the bookends of the blessings of “the words of this prophecy”. Yet greater, the “Alpha and Omega” speaks, opening and closing the book.</w:t>
      </w:r>
    </w:p>
    <w:p>
      <w:pPr>
        <w:spacing w:after="150"/>
      </w:pPr>
      <w:r>
        <w:rPr/>
        <w:t xml:space="preserve"/>
      </w:r>
    </w:p>
    <w:p>
      <w:pPr>
        <w:pStyle w:val="BodyVerse"/>
      </w:pPr>
      <w:r>
        <w:rPr>
          <w:b w:val="1"/>
          <w:bCs w:val="1"/>
        </w:rPr>
        <w:t xml:space="preserve">[[@Bible:Re 1:1]] </w:t>
      </w:r>
      <w:r>
        <w:rPr>
          <w:sz w:val="22"/>
          <w:szCs w:val="22"/>
          <w:b w:val="1"/>
          <w:bCs w:val="1"/>
          <w:vertAlign w:val="superscript"/>
        </w:rPr>
        <w:t xml:space="preserve">1  </w:t>
      </w:r>
      <w:r>
        <w:rPr/>
        <w:t xml:space="preserve">The Revelation of Jesus Christ, which God gave unto him, to show unto his servants things which must </w:t>
      </w:r>
      <w:r>
        <w:rPr>
          <w:b w:val="1"/>
          <w:bCs w:val="1"/>
        </w:rPr>
        <w:t xml:space="preserve">come to pass shortly</w:t>
      </w:r>
      <w:r>
        <w:rPr/>
        <w:t xml:space="preserve"> </w:t>
      </w:r>
      <w:r>
        <w:rPr>
          <w:rStyle w:val="FootnoteReference"/>
        </w:rPr>
        <w:footnoteReference w:id="1"/>
      </w:r>
      <w:r>
        <w:rPr/>
        <w:t xml:space="preserve">; and he reported it, </w:t>
      </w:r>
      <w:r>
        <w:rPr>
          <w:b w:val="1"/>
          <w:bCs w:val="1"/>
        </w:rPr>
        <w:t xml:space="preserve">sending by his messenger</w:t>
      </w:r>
      <w:r>
        <w:rPr/>
        <w:t xml:space="preserve"> </w:t>
      </w:r>
      <w:r>
        <w:rPr>
          <w:rStyle w:val="FootnoteReference"/>
        </w:rPr>
        <w:footnoteReference w:id="2"/>
      </w:r>
      <w:r>
        <w:rPr/>
        <w:t xml:space="preserve"> </w:t>
      </w:r>
      <w:r>
        <w:rPr>
          <w:rStyle w:val="FootnoteReference"/>
        </w:rPr>
        <w:footnoteReference w:id="3"/>
      </w:r>
      <w:r>
        <w:rPr/>
        <w:t xml:space="preserve"> unto his servant John:</w:t>
      </w:r>
    </w:p>
    <w:p>
      <w:pPr>
        <w:pStyle w:val="BodyVerse"/>
      </w:pPr>
      <w:r>
        <w:rPr>
          <w:b w:val="1"/>
          <w:bCs w:val="1"/>
        </w:rPr>
        <w:t xml:space="preserve">[[@Bible:Re 1:2]] </w:t>
      </w:r>
      <w:r>
        <w:rPr>
          <w:sz w:val="22"/>
          <w:szCs w:val="22"/>
          <w:b w:val="1"/>
          <w:bCs w:val="1"/>
          <w:vertAlign w:val="superscript"/>
        </w:rPr>
        <w:t xml:space="preserve">2  </w:t>
      </w:r>
      <w:r>
        <w:rPr/>
        <w:t xml:space="preserve">Who testified of the word of God, and of </w:t>
      </w:r>
      <w:r>
        <w:rPr>
          <w:b w:val="1"/>
          <w:bCs w:val="1"/>
        </w:rPr>
        <w:t xml:space="preserve">the testimony of Jesus Christ</w:t>
      </w:r>
      <w:r>
        <w:rPr/>
        <w:t xml:space="preserve"> </w:t>
      </w:r>
      <w:r>
        <w:rPr>
          <w:rStyle w:val="FootnoteReference"/>
        </w:rPr>
        <w:footnoteReference w:id="4"/>
      </w:r>
      <w:r>
        <w:rPr/>
        <w:t xml:space="preserve">, even of all things that he saw.</w:t>
      </w:r>
    </w:p>
    <w:p>
      <w:pPr>
        <w:pStyle w:val="BodyVerse"/>
      </w:pPr>
      <w:r>
        <w:rPr>
          <w:b w:val="1"/>
          <w:bCs w:val="1"/>
        </w:rPr>
        <w:t xml:space="preserve">[[@Bible:Re 1:3]] </w:t>
      </w:r>
      <w:r>
        <w:rPr>
          <w:sz w:val="22"/>
          <w:szCs w:val="22"/>
          <w:b w:val="1"/>
          <w:bCs w:val="1"/>
          <w:vertAlign w:val="superscript"/>
        </w:rPr>
        <w:t xml:space="preserve">3  </w:t>
      </w:r>
      <w:r>
        <w:rPr>
          <w:b w:val="1"/>
          <w:bCs w:val="1"/>
        </w:rPr>
        <w:t xml:space="preserve">Blessed</w:t>
      </w:r>
      <w:r>
        <w:rPr/>
        <w:t xml:space="preserve"> </w:t>
      </w:r>
      <w:r>
        <w:rPr>
          <w:rStyle w:val="FootnoteReference"/>
        </w:rPr>
        <w:footnoteReference w:id="5"/>
      </w:r>
      <w:r>
        <w:rPr/>
        <w:t xml:space="preserve"> is he who reads, and they who hear </w:t>
      </w:r>
      <w:r>
        <w:rPr>
          <w:b w:val="1"/>
          <w:bCs w:val="1"/>
        </w:rPr>
        <w:t xml:space="preserve">the words of this prophecy</w:t>
      </w:r>
      <w:r>
        <w:rPr/>
        <w:t xml:space="preserve"> </w:t>
      </w:r>
      <w:r>
        <w:rPr>
          <w:rStyle w:val="FootnoteReference"/>
        </w:rPr>
        <w:footnoteReference w:id="6"/>
      </w:r>
      <w:r>
        <w:rPr/>
        <w:t xml:space="preserve">, and keep those things which are written in it for </w:t>
      </w:r>
      <w:r>
        <w:rPr>
          <w:b w:val="1"/>
          <w:bCs w:val="1"/>
        </w:rPr>
        <w:t xml:space="preserve">the time is near</w:t>
      </w:r>
      <w:r>
        <w:rPr/>
        <w:t xml:space="preserve">. </w:t>
      </w:r>
      <w:r>
        <w:rPr>
          <w:rStyle w:val="FootnoteReference"/>
        </w:rPr>
        <w:footnoteReference w:id="7"/>
      </w:r>
      <w:r>
        <w:rPr/>
        <w:t xml:space="preserve"> </w:t>
      </w:r>
      <w:r>
        <w:rPr>
          <w:rStyle w:val="FootnoteReference"/>
        </w:rPr>
        <w:footnoteReference w:id="8"/>
      </w:r>
    </w:p>
    <w:p>
      <w:pPr>
        <w:jc w:val="left"/>
        <w:ind w:left="360" w:right="0" w:firstLine="0" w:hanging="0"/>
        <w:spacing w:after="60"/>
      </w:pPr>
      <w:r>
        <w:rPr>
          <w:sz w:val="18"/>
          <w:szCs w:val="18"/>
          <w:i w:val="1"/>
          <w:iCs w:val="1"/>
        </w:rPr>
        <w:t xml:space="preserve">[fn] Reading would be out loud</w:t>
      </w:r>
    </w:p>
    <w:p>
      <w:pPr>
        <w:spacing w:after="150"/>
      </w:pPr>
      <w:r>
        <w:rPr/>
        <w:t xml:space="preserve"/>
      </w:r>
    </w:p>
    <w:p>
      <w:pPr>
        <w:pStyle w:val="Heading3"/>
      </w:pPr>
      <w:bookmarkStart w:id="3" w:name="_Toc3"/>
      <w:r>
        <w:t>Message to the Seven Churches: Peace From The Father, Seven Spirits, and Jesus</w:t>
      </w:r>
      <w:bookmarkEnd w:id="3"/>
    </w:p>
    <w:p>
      <w:pPr>
        <w:pStyle w:val="BodyVerse"/>
      </w:pPr>
      <w:r>
        <w:rPr>
          <w:b w:val="1"/>
          <w:bCs w:val="1"/>
        </w:rPr>
        <w:t xml:space="preserve">[[@Bible:Re 1:4]] </w:t>
      </w:r>
      <w:r>
        <w:rPr>
          <w:sz w:val="22"/>
          <w:szCs w:val="22"/>
          <w:b w:val="1"/>
          <w:bCs w:val="1"/>
          <w:vertAlign w:val="superscript"/>
        </w:rPr>
        <w:t xml:space="preserve">4  </w:t>
      </w:r>
      <w:r>
        <w:rPr/>
        <w:t xml:space="preserve">John to the seven churches that are in Asia: Grace be unto you, and peace, from </w:t>
      </w:r>
      <w:r>
        <w:rPr>
          <w:b w:val="1"/>
          <w:bCs w:val="1"/>
        </w:rPr>
        <w:t xml:space="preserve">him who is, and who was, and who is to come</w:t>
      </w:r>
      <w:r>
        <w:rPr/>
        <w:t xml:space="preserve">; </w:t>
      </w:r>
      <w:r>
        <w:rPr>
          <w:rStyle w:val="FootnoteReference"/>
        </w:rPr>
        <w:footnoteReference w:id="9"/>
      </w:r>
      <w:r>
        <w:rPr/>
        <w:t xml:space="preserve"> and from the </w:t>
      </w:r>
      <w:r>
        <w:rPr>
          <w:b w:val="1"/>
          <w:bCs w:val="1"/>
        </w:rPr>
        <w:t xml:space="preserve">seven Spirits</w:t>
      </w:r>
      <w:r>
        <w:rPr/>
        <w:t xml:space="preserve"> </w:t>
      </w:r>
      <w:r>
        <w:rPr>
          <w:rStyle w:val="FootnoteReference"/>
        </w:rPr>
        <w:footnoteReference w:id="10"/>
      </w:r>
      <w:r>
        <w:rPr/>
        <w:t xml:space="preserve"> who are before his throne;</w:t>
      </w:r>
    </w:p>
    <w:p>
      <w:pPr>
        <w:jc w:val="left"/>
        <w:ind w:left="360" w:right="0" w:firstLine="0" w:hanging="0"/>
        <w:spacing w:after="60"/>
      </w:pPr>
      <w:r>
        <w:rPr>
          <w:sz w:val="18"/>
          <w:szCs w:val="18"/>
          <w:i w:val="1"/>
          <w:iCs w:val="1"/>
        </w:rPr>
        <w:t xml:space="preserve">[fn] The throne is clearly the Father's.</w:t>
      </w:r>
    </w:p>
    <w:p>
      <w:pPr>
        <w:pStyle w:val="BodyVerse"/>
      </w:pPr>
      <w:r>
        <w:rPr>
          <w:b w:val="1"/>
          <w:bCs w:val="1"/>
        </w:rPr>
        <w:t xml:space="preserve">[[@Bible:Re 1:5]] </w:t>
      </w:r>
      <w:r>
        <w:rPr>
          <w:sz w:val="22"/>
          <w:szCs w:val="22"/>
          <w:b w:val="1"/>
          <w:bCs w:val="1"/>
          <w:vertAlign w:val="superscript"/>
        </w:rPr>
        <w:t xml:space="preserve">5  </w:t>
      </w:r>
      <w:r>
        <w:rPr/>
        <w:t xml:space="preserve">And from Jesus Christ, who is the </w:t>
      </w:r>
      <w:r>
        <w:rPr>
          <w:b w:val="1"/>
          <w:bCs w:val="1"/>
        </w:rPr>
        <w:t xml:space="preserve">faithful witness</w:t>
      </w:r>
      <w:r>
        <w:rPr/>
        <w:t xml:space="preserve"> </w:t>
      </w:r>
      <w:r>
        <w:rPr>
          <w:rStyle w:val="FootnoteReference"/>
        </w:rPr>
        <w:footnoteReference w:id="11"/>
      </w:r>
      <w:r>
        <w:rPr/>
        <w:t xml:space="preserve">, the </w:t>
      </w:r>
      <w:r>
        <w:rPr>
          <w:b w:val="1"/>
          <w:bCs w:val="1"/>
        </w:rPr>
        <w:t xml:space="preserve">first begotten of the dead</w:t>
      </w:r>
      <w:r>
        <w:rPr/>
        <w:t xml:space="preserve"> </w:t>
      </w:r>
      <w:r>
        <w:rPr>
          <w:rStyle w:val="FootnoteReference"/>
        </w:rPr>
        <w:footnoteReference w:id="12"/>
      </w:r>
      <w:r>
        <w:rPr/>
        <w:t xml:space="preserve">, and the ruler of the kings of the earth. Unto him who </w:t>
      </w:r>
      <w:r>
        <w:rPr>
          <w:b w:val="1"/>
          <w:bCs w:val="1"/>
        </w:rPr>
        <w:t xml:space="preserve">loved us</w:t>
      </w:r>
      <w:r>
        <w:rPr/>
        <w:t xml:space="preserve"> </w:t>
      </w:r>
      <w:r>
        <w:rPr>
          <w:rStyle w:val="FootnoteReference"/>
        </w:rPr>
        <w:footnoteReference w:id="13"/>
      </w:r>
      <w:r>
        <w:rPr/>
        <w:t xml:space="preserve">, and </w:t>
      </w:r>
      <w:r>
        <w:rPr>
          <w:b w:val="1"/>
          <w:bCs w:val="1"/>
        </w:rPr>
        <w:t xml:space="preserve">released us from our sins by his blood</w:t>
      </w:r>
      <w:r>
        <w:rPr/>
        <w:t xml:space="preserve"> </w:t>
      </w:r>
      <w:r>
        <w:rPr>
          <w:rStyle w:val="FootnoteReference"/>
        </w:rPr>
        <w:footnoteReference w:id="14"/>
      </w:r>
      <w:r>
        <w:rPr/>
        <w:t xml:space="preserve">,</w:t>
      </w:r>
    </w:p>
    <w:p>
      <w:pPr>
        <w:jc w:val="left"/>
        <w:ind w:left="360" w:right="0" w:firstLine="0" w:hanging="0"/>
        <w:spacing w:after="60"/>
      </w:pPr>
      <w:r>
        <w:rPr>
          <w:sz w:val="18"/>
          <w:szCs w:val="18"/>
          <w:i w:val="1"/>
          <w:iCs w:val="1"/>
        </w:rPr>
        <w:t xml:space="preserve">[fn] He is not just King of Kings but also prince or ruler, ἄρχων, of the kings.</w:t>
      </w:r>
    </w:p>
    <w:p>
      <w:pPr>
        <w:jc w:val="left"/>
        <w:ind w:left="360" w:right="0" w:firstLine="0" w:hanging="0"/>
        <w:spacing w:after="60"/>
      </w:pPr>
      <w:r>
        <w:rPr>
          <w:sz w:val="18"/>
          <w:szCs w:val="18"/>
          <w:i w:val="1"/>
          <w:iCs w:val="1"/>
        </w:rPr>
        <w:t xml:space="preserve">[fn] “Released” (λύω) appears in the Critical Text, while “washed” (λούω) is found in the Majority Text; in Greek, these two verbs differ by only a single letter. Within Revelation’s broader context, Christ is portrayed as the one who ransoms and redeems, whereas the saints are described as washing themselves (7:14; 22:14). This pattern suggests that, in this instance, the sense of Christ freeing rather than washing is the more contextually fitting reading. Keep in mind that those who come out of great tribulation (7:14) are saints who are washed in the blood of Jesus, that group is not identified by any other works.</w:t>
      </w:r>
    </w:p>
    <w:p>
      <w:pPr>
        <w:spacing w:after="150"/>
      </w:pPr>
      <w:r>
        <w:rPr/>
        <w:t xml:space="preserve"/>
      </w:r>
    </w:p>
    <w:p>
      <w:pPr>
        <w:pStyle w:val="Heading3"/>
      </w:pPr>
      <w:bookmarkStart w:id="4" w:name="_Toc4"/>
      <w:r>
        <w:t>Kingdom of Priests unto God</w:t>
      </w:r>
      <w:bookmarkEnd w:id="4"/>
    </w:p>
    <w:p>
      <w:pPr>
        <w:pStyle w:val="SectionBody"/>
      </w:pPr>
      <w:r>
        <w:rPr>
          <w:b w:val="1"/>
          <w:bCs w:val="1"/>
        </w:rPr>
        <w:t xml:space="preserve">Important Note:</w:t>
      </w:r>
      <w:r>
        <w:rPr/>
        <w:t xml:space="preserve"> Textual variants cause Revelation 1:6 in some translations, such as the ESV, to read, "He made us into a kingdom, priests to His God and Father." Likewise, Revelation 5:10 reads, "You have made them into a kingdom and priests to our God, and they will reign upon the earth." The evidence strongly suggests that the intended theme is "a kingdom of priests," not KJV's "kings and priests" echoing Exodus 19:6: "And ye shall be unto me a kingdom of priests, and an holy nation."</w:t>
      </w:r>
    </w:p>
    <w:p>
      <w:pPr>
        <w:spacing w:after="150"/>
      </w:pPr>
      <w:r>
        <w:rPr/>
        <w:t xml:space="preserve"/>
      </w:r>
    </w:p>
    <w:p>
      <w:pPr>
        <w:pStyle w:val="BodyVerse"/>
      </w:pPr>
      <w:r>
        <w:rPr>
          <w:b w:val="1"/>
          <w:bCs w:val="1"/>
        </w:rPr>
        <w:t xml:space="preserve">[[@Bible:Re 1:6]] </w:t>
      </w:r>
      <w:r>
        <w:rPr>
          <w:sz w:val="22"/>
          <w:szCs w:val="22"/>
          <w:b w:val="1"/>
          <w:bCs w:val="1"/>
          <w:vertAlign w:val="superscript"/>
        </w:rPr>
        <w:t xml:space="preserve">6  </w:t>
      </w:r>
      <w:r>
        <w:rPr/>
        <w:t xml:space="preserve">And has made us </w:t>
      </w:r>
      <w:r>
        <w:rPr>
          <w:b w:val="1"/>
          <w:bCs w:val="1"/>
        </w:rPr>
        <w:t xml:space="preserve">a kingdom, priests unto God</w:t>
      </w:r>
      <w:r>
        <w:rPr/>
        <w:t xml:space="preserve"> </w:t>
      </w:r>
      <w:r>
        <w:rPr>
          <w:rStyle w:val="FootnoteReference"/>
        </w:rPr>
        <w:footnoteReference w:id="15"/>
      </w:r>
      <w:r>
        <w:rPr/>
        <w:t xml:space="preserve"> and his Father; to him be glory and dominion forever and ever. Amen.</w:t>
      </w:r>
    </w:p>
    <w:p>
      <w:pPr>
        <w:jc w:val="left"/>
        <w:ind w:left="360" w:right="0" w:firstLine="0" w:hanging="0"/>
        <w:spacing w:after="60"/>
      </w:pPr>
      <w:r>
        <w:rPr>
          <w:sz w:val="18"/>
          <w:szCs w:val="18"/>
          <w:i w:val="1"/>
          <w:iCs w:val="1"/>
        </w:rPr>
        <w:t xml:space="preserve">[fn] ἀμήν — "truly" for Amen</w:t>
      </w:r>
    </w:p>
    <w:p>
      <w:pPr>
        <w:pStyle w:val="BodyVerse"/>
      </w:pPr>
      <w:r>
        <w:rPr>
          <w:b w:val="1"/>
          <w:bCs w:val="1"/>
        </w:rPr>
        <w:t xml:space="preserve">[[@Bible:Re 1:7]] </w:t>
      </w:r>
      <w:r>
        <w:rPr>
          <w:sz w:val="22"/>
          <w:szCs w:val="22"/>
          <w:b w:val="1"/>
          <w:bCs w:val="1"/>
          <w:vertAlign w:val="superscript"/>
        </w:rPr>
        <w:t xml:space="preserve">7  </w:t>
      </w:r>
      <w:r>
        <w:rPr/>
        <w:t xml:space="preserve">Behold, </w:t>
      </w:r>
      <w:r>
        <w:rPr>
          <w:b w:val="1"/>
          <w:bCs w:val="1"/>
        </w:rPr>
        <w:t xml:space="preserve">he is coming with clouds</w:t>
      </w:r>
      <w:r>
        <w:rPr/>
        <w:t xml:space="preserve"> </w:t>
      </w:r>
      <w:r>
        <w:rPr>
          <w:rStyle w:val="FootnoteReference"/>
        </w:rPr>
        <w:footnoteReference w:id="16"/>
      </w:r>
      <w:r>
        <w:rPr/>
        <w:t xml:space="preserve">; and every eye shall see him, and they also who </w:t>
      </w:r>
      <w:r>
        <w:rPr>
          <w:b w:val="1"/>
          <w:bCs w:val="1"/>
        </w:rPr>
        <w:t xml:space="preserve">pierced him</w:t>
      </w:r>
      <w:r>
        <w:rPr/>
        <w:t xml:space="preserve"> </w:t>
      </w:r>
      <w:r>
        <w:rPr>
          <w:rStyle w:val="FootnoteReference"/>
        </w:rPr>
        <w:footnoteReference w:id="17"/>
      </w:r>
      <w:r>
        <w:rPr/>
        <w:t xml:space="preserve">: and all kindreds of the earth shall wail because of him. Even so, Amen.</w:t>
      </w:r>
    </w:p>
    <w:p>
      <w:pPr>
        <w:pStyle w:val="BodyVerse"/>
      </w:pPr>
      <w:r>
        <w:rPr>
          <w:b w:val="1"/>
          <w:bCs w:val="1"/>
        </w:rPr>
        <w:t xml:space="preserve">[[@Bible:Re 1:8]] </w:t>
      </w:r>
      <w:r>
        <w:rPr>
          <w:sz w:val="22"/>
          <w:szCs w:val="22"/>
          <w:b w:val="1"/>
          <w:bCs w:val="1"/>
          <w:vertAlign w:val="superscript"/>
        </w:rPr>
        <w:t xml:space="preserve">8  </w:t>
      </w:r>
      <w:r>
        <w:rPr/>
        <w:t xml:space="preserve">I am </w:t>
      </w:r>
      <w:r>
        <w:rPr>
          <w:b w:val="1"/>
          <w:bCs w:val="1"/>
        </w:rPr>
        <w:t xml:space="preserve">Alpha and Omega</w:t>
      </w:r>
      <w:r>
        <w:rPr/>
        <w:t xml:space="preserve"> , </w:t>
      </w:r>
      <w:r>
        <w:rPr>
          <w:b w:val="1"/>
          <w:bCs w:val="1"/>
        </w:rPr>
        <w:t xml:space="preserve">says the Lord God, who is, and who was, and who is to come</w:t>
      </w:r>
      <w:r>
        <w:rPr/>
        <w:t xml:space="preserve"> </w:t>
      </w:r>
      <w:r>
        <w:rPr>
          <w:rStyle w:val="FootnoteReference"/>
        </w:rPr>
        <w:footnoteReference w:id="18"/>
      </w:r>
      <w:r>
        <w:rPr/>
        <w:t xml:space="preserve">, the </w:t>
      </w:r>
      <w:r>
        <w:rPr>
          <w:b w:val="1"/>
          <w:bCs w:val="1"/>
        </w:rPr>
        <w:t xml:space="preserve">Almighty</w:t>
      </w:r>
      <w:r>
        <w:rPr/>
        <w:t xml:space="preserve"> </w:t>
      </w:r>
      <w:r>
        <w:rPr>
          <w:rStyle w:val="FootnoteReference"/>
        </w:rPr>
        <w:footnoteReference w:id="19"/>
      </w:r>
      <w:r>
        <w:rPr/>
        <w:t xml:space="preserve">.</w:t>
      </w:r>
    </w:p>
    <w:p>
      <w:pPr>
        <w:spacing w:after="150"/>
      </w:pPr>
      <w:r>
        <w:rPr/>
        <w:t xml:space="preserve"/>
      </w:r>
    </w:p>
    <w:p>
      <w:pPr>
        <w:pStyle w:val="Heading3"/>
      </w:pPr>
      <w:bookmarkStart w:id="5" w:name="_Toc5"/>
      <w:r>
        <w:t>Companion in Tribulation</w:t>
      </w:r>
      <w:bookmarkEnd w:id="5"/>
    </w:p>
    <w:p>
      <w:pPr>
        <w:pStyle w:val="SectionBody"/>
      </w:pPr>
      <w:r>
        <w:rPr>
          <w:b w:val="1"/>
          <w:bCs w:val="1"/>
        </w:rPr>
        <w:t xml:space="preserve">Important Note:</w:t>
      </w:r>
      <w:r>
        <w:rPr/>
        <w:t xml:space="preserve"> John points out that, regarding the church, he is in tribulation, and the saints who will be in tribulation can be patient in Jesus as he is. The letters to the churches apply to a past church, a present church, and a future tribulation church.</w:t>
      </w:r>
    </w:p>
    <w:p>
      <w:pPr>
        <w:spacing w:after="150"/>
      </w:pPr>
      <w:r>
        <w:rPr/>
        <w:t xml:space="preserve"/>
      </w:r>
    </w:p>
    <w:p>
      <w:pPr>
        <w:pStyle w:val="BodyVerse"/>
      </w:pPr>
      <w:r>
        <w:rPr>
          <w:b w:val="1"/>
          <w:bCs w:val="1"/>
        </w:rPr>
        <w:t xml:space="preserve">[[@Bible:Re 1:9]] </w:t>
      </w:r>
      <w:r>
        <w:rPr>
          <w:sz w:val="22"/>
          <w:szCs w:val="22"/>
          <w:b w:val="1"/>
          <w:bCs w:val="1"/>
          <w:vertAlign w:val="superscript"/>
        </w:rPr>
        <w:t xml:space="preserve">9  </w:t>
      </w:r>
      <w:r>
        <w:rPr/>
        <w:t xml:space="preserve">I, John, your </w:t>
      </w:r>
      <w:r>
        <w:rPr>
          <w:b w:val="1"/>
          <w:bCs w:val="1"/>
        </w:rPr>
        <w:t xml:space="preserve">brother</w:t>
      </w:r>
      <w:r>
        <w:rPr/>
        <w:t xml:space="preserve"> </w:t>
      </w:r>
      <w:r>
        <w:rPr>
          <w:rStyle w:val="FootnoteReference"/>
        </w:rPr>
        <w:footnoteReference w:id="20"/>
      </w:r>
      <w:r>
        <w:rPr/>
        <w:t xml:space="preserve">, and companion in tribulation, and in the kingdom and patience of Jesus</w:t>
      </w:r>
      <w:r>
        <w:rPr/>
        <w:t xml:space="preserve">, was in the island that is called Patmos, for the word of God, and for the testimony of Jesus</w:t>
      </w:r>
      <w:r>
        <w:rPr/>
        <w:t xml:space="preserve">.</w:t>
      </w:r>
    </w:p>
    <w:p>
      <w:pPr>
        <w:jc w:val="left"/>
        <w:ind w:left="360" w:right="0" w:firstLine="0" w:hanging="0"/>
        <w:spacing w:after="60"/>
      </w:pPr>
      <w:r>
        <w:rPr>
          <w:sz w:val="18"/>
          <w:szCs w:val="18"/>
          <w:i w:val="1"/>
          <w:iCs w:val="1"/>
        </w:rPr>
        <w:t xml:space="preserve">[fn] Tribulation for the church is not unique to what has been labeled as "the great tribulation" of 7 years. All Christians will face tribulation. When we read Revelation and John speaks of being a "companion in tribulation," he is referring to that shared trouble we have in this world. But there is also a tribulation that is great, taking place over 7 years, and many will enter into it. So when we see reference to the "patience of the saints," we should not confuse the tribulation we face every day as the church with what is meant to be a very particular tribulation at a very particular time. This is why many use the special label "the great tribulation" to make that distinction clear. Here John is making a soft relation in the shared theme of waiting on Jesus. 13:10, 14:12, 6:9, 12:17, 14:12</w:t>
      </w:r>
    </w:p>
    <w:p>
      <w:pPr>
        <w:spacing w:after="150"/>
      </w:pPr>
      <w:r>
        <w:rPr/>
        <w:t xml:space="preserve"/>
      </w:r>
    </w:p>
    <w:p>
      <w:pPr>
        <w:pStyle w:val="Heading3"/>
      </w:pPr>
      <w:bookmarkStart w:id="6" w:name="_Toc6"/>
      <w:r>
        <w:t>Jesus Speaks with Trumpet Voice</w:t>
      </w:r>
      <w:bookmarkEnd w:id="6"/>
    </w:p>
    <w:p>
      <w:pPr>
        <w:pStyle w:val="SectionBody"/>
      </w:pPr>
      <w:r>
        <w:rPr>
          <w:b w:val="1"/>
          <w:bCs w:val="1"/>
        </w:rPr>
        <w:t xml:space="preserve">Important Note:</w:t>
      </w:r>
      <w:r>
        <w:rPr/>
        <w:t xml:space="preserve"> In verse 10, we learn that a voice is described as a trumpet. So, when we see messengers with trumpets, we can see them as voices of announcement and as literal trumpets. This does not exclude the idea that the 7 trumpet judgments could be literal trumpets, but this text here is leaning towards great and powerful voices rather than objects.</w:t>
      </w:r>
    </w:p>
    <w:p>
      <w:pPr>
        <w:spacing w:after="150"/>
      </w:pPr>
      <w:r>
        <w:rPr/>
        <w:t xml:space="preserve"/>
      </w:r>
    </w:p>
    <w:p>
      <w:pPr>
        <w:pStyle w:val="BodyVerse"/>
      </w:pPr>
      <w:r>
        <w:rPr>
          <w:b w:val="1"/>
          <w:bCs w:val="1"/>
        </w:rPr>
        <w:t xml:space="preserve">[[@Bible:Re 1:10]] </w:t>
      </w:r>
      <w:r>
        <w:rPr>
          <w:sz w:val="22"/>
          <w:szCs w:val="22"/>
          <w:b w:val="1"/>
          <w:bCs w:val="1"/>
          <w:vertAlign w:val="superscript"/>
        </w:rPr>
        <w:t xml:space="preserve">10  </w:t>
      </w:r>
      <w:r>
        <w:rPr/>
        <w:t xml:space="preserve">I was in the Spirit on the Lord’s day, and heard behind me a great voice, as of a </w:t>
      </w:r>
      <w:r>
        <w:rPr>
          <w:b w:val="1"/>
          <w:bCs w:val="1"/>
        </w:rPr>
        <w:t xml:space="preserve">trumpet</w:t>
      </w:r>
      <w:r>
        <w:rPr/>
        <w:t xml:space="preserve"> </w:t>
      </w:r>
      <w:r>
        <w:rPr>
          <w:rStyle w:val="FootnoteReference"/>
        </w:rPr>
        <w:footnoteReference w:id="21"/>
      </w:r>
      <w:r>
        <w:rPr/>
        <w:t xml:space="preserve">,</w:t>
      </w:r>
    </w:p>
    <w:p>
      <w:pPr>
        <w:pStyle w:val="BodyVerse"/>
      </w:pPr>
      <w:r>
        <w:rPr>
          <w:b w:val="1"/>
          <w:bCs w:val="1"/>
        </w:rPr>
        <w:t xml:space="preserve">[[@Bible:Re 1:11]] </w:t>
      </w:r>
      <w:r>
        <w:rPr>
          <w:sz w:val="22"/>
          <w:szCs w:val="22"/>
          <w:b w:val="1"/>
          <w:bCs w:val="1"/>
          <w:vertAlign w:val="superscript"/>
        </w:rPr>
        <w:t xml:space="preserve">11  </w:t>
      </w:r>
      <w:r>
        <w:rPr/>
        <w:t xml:space="preserve">Saying,</w:t>
      </w:r>
      <w:r>
        <w:rPr/>
        <w:t xml:space="preserve"> What you see, </w:t>
      </w:r>
      <w:r>
        <w:rPr>
          <w:b w:val="1"/>
          <w:bCs w:val="1"/>
        </w:rPr>
        <w:t xml:space="preserve">write in a book</w:t>
      </w:r>
      <w:r>
        <w:rPr/>
        <w:t xml:space="preserve"> </w:t>
      </w:r>
      <w:r>
        <w:rPr>
          <w:rStyle w:val="FootnoteReference"/>
        </w:rPr>
        <w:footnoteReference w:id="22"/>
      </w:r>
      <w:r>
        <w:rPr/>
        <w:t xml:space="preserve"> </w:t>
      </w:r>
      <w:r>
        <w:rPr>
          <w:rStyle w:val="FootnoteReference"/>
        </w:rPr>
        <w:footnoteReference w:id="23"/>
      </w:r>
      <w:r>
        <w:rPr/>
        <w:t xml:space="preserve">, and send it unto the seven churches</w:t>
      </w:r>
      <w:r>
        <w:rPr/>
        <w:t xml:space="preserve">; unto Ephesus, and unto Smyrna, and unto Pergamum, and unto Thyatira, and unto Sardis, and unto Philadelphia, and unto Laodicea.</w:t>
      </w:r>
    </w:p>
    <w:p>
      <w:pPr>
        <w:pStyle w:val="BodyVerse"/>
      </w:pPr>
      <w:r>
        <w:rPr>
          <w:b w:val="1"/>
          <w:bCs w:val="1"/>
        </w:rPr>
        <w:t xml:space="preserve">[[@Bible:Re 1:12]] </w:t>
      </w:r>
      <w:r>
        <w:rPr>
          <w:sz w:val="22"/>
          <w:szCs w:val="22"/>
          <w:b w:val="1"/>
          <w:bCs w:val="1"/>
          <w:vertAlign w:val="superscript"/>
        </w:rPr>
        <w:t xml:space="preserve">12  </w:t>
      </w:r>
      <w:r>
        <w:rPr/>
        <w:t xml:space="preserve">And I turned to see the voice that spake with me. And being turned, I saw seven golden </w:t>
      </w:r>
      <w:r>
        <w:rPr>
          <w:b w:val="1"/>
          <w:bCs w:val="1"/>
        </w:rPr>
        <w:t xml:space="preserve">lampstands</w:t>
      </w:r>
      <w:r>
        <w:rPr/>
        <w:t xml:space="preserve"> </w:t>
      </w:r>
      <w:r>
        <w:rPr>
          <w:rStyle w:val="FootnoteReference"/>
        </w:rPr>
        <w:footnoteReference w:id="24"/>
      </w:r>
      <w:r>
        <w:rPr/>
        <w:t xml:space="preserve">;</w:t>
      </w:r>
    </w:p>
    <w:p>
      <w:pPr>
        <w:spacing w:after="150"/>
      </w:pPr>
      <w:r>
        <w:rPr/>
        <w:t xml:space="preserve"/>
      </w:r>
    </w:p>
    <w:p>
      <w:pPr>
        <w:pStyle w:val="Heading3"/>
      </w:pPr>
      <w:bookmarkStart w:id="7" w:name="_Toc7"/>
      <w:r>
        <w:t>John Sees Glorified Jesus</w:t>
      </w:r>
      <w:bookmarkEnd w:id="7"/>
    </w:p>
    <w:p>
      <w:pPr>
        <w:pStyle w:val="BodyVerse"/>
      </w:pPr>
      <w:r>
        <w:rPr>
          <w:b w:val="1"/>
          <w:bCs w:val="1"/>
        </w:rPr>
        <w:t xml:space="preserve">[[@Bible:Re 1:13]] </w:t>
      </w:r>
      <w:r>
        <w:rPr>
          <w:sz w:val="22"/>
          <w:szCs w:val="22"/>
          <w:b w:val="1"/>
          <w:bCs w:val="1"/>
          <w:vertAlign w:val="superscript"/>
        </w:rPr>
        <w:t xml:space="preserve">13  </w:t>
      </w:r>
      <w:r>
        <w:rPr/>
        <w:t xml:space="preserve">And in the midst of the</w:t>
      </w:r>
      <w:r>
        <w:rPr/>
        <w:t xml:space="preserve"> </w:t>
      </w:r>
      <w:r>
        <w:rPr>
          <w:b w:val="1"/>
          <w:bCs w:val="1"/>
        </w:rPr>
        <w:t xml:space="preserve">lampstands</w:t>
      </w:r>
      <w:r>
        <w:rPr/>
        <w:t xml:space="preserve"> </w:t>
      </w:r>
      <w:r>
        <w:rPr>
          <w:rStyle w:val="FootnoteReference"/>
        </w:rPr>
        <w:footnoteReference w:id="25"/>
      </w:r>
      <w:r>
        <w:rPr/>
        <w:t xml:space="preserve"> one like the </w:t>
      </w:r>
      <w:r>
        <w:rPr>
          <w:b w:val="1"/>
          <w:bCs w:val="1"/>
        </w:rPr>
        <w:t xml:space="preserve">Son of man</w:t>
      </w:r>
      <w:r>
        <w:rPr/>
        <w:t xml:space="preserve"> </w:t>
      </w:r>
      <w:r>
        <w:rPr>
          <w:rStyle w:val="FootnoteReference"/>
        </w:rPr>
        <w:footnoteReference w:id="26"/>
      </w:r>
      <w:r>
        <w:rPr/>
        <w:t xml:space="preserve">, clothed with a garment down to the foot, and girded about the chest with a </w:t>
      </w:r>
      <w:r>
        <w:rPr>
          <w:b w:val="1"/>
          <w:bCs w:val="1"/>
        </w:rPr>
        <w:t xml:space="preserve">belt of gold</w:t>
      </w:r>
      <w:r>
        <w:rPr/>
        <w:t xml:space="preserve"> </w:t>
      </w:r>
      <w:r>
        <w:rPr>
          <w:rStyle w:val="FootnoteReference"/>
        </w:rPr>
        <w:footnoteReference w:id="27"/>
      </w:r>
      <w:r>
        <w:rPr/>
        <w:t xml:space="preserve">;</w:t>
      </w:r>
    </w:p>
    <w:p>
      <w:pPr>
        <w:pStyle w:val="BodyVerse"/>
      </w:pPr>
      <w:r>
        <w:rPr>
          <w:b w:val="1"/>
          <w:bCs w:val="1"/>
        </w:rPr>
        <w:t xml:space="preserve">[[@Bible:Re 1:14]] </w:t>
      </w:r>
      <w:r>
        <w:rPr>
          <w:sz w:val="22"/>
          <w:szCs w:val="22"/>
          <w:b w:val="1"/>
          <w:bCs w:val="1"/>
          <w:vertAlign w:val="superscript"/>
        </w:rPr>
        <w:t xml:space="preserve">14  </w:t>
      </w:r>
      <w:r>
        <w:rPr/>
        <w:t xml:space="preserve">His head and his hairs were white like wool, white like snow; and his </w:t>
      </w:r>
      <w:r>
        <w:rPr>
          <w:b w:val="1"/>
          <w:bCs w:val="1"/>
        </w:rPr>
        <w:t xml:space="preserve">eyes were as a flame of fire</w:t>
      </w:r>
      <w:r>
        <w:rPr/>
        <w:t xml:space="preserve"> </w:t>
      </w:r>
      <w:r>
        <w:rPr>
          <w:rStyle w:val="FootnoteReference"/>
        </w:rPr>
        <w:footnoteReference w:id="28"/>
      </w:r>
      <w:r>
        <w:rPr/>
        <w:t xml:space="preserve">;</w:t>
      </w:r>
    </w:p>
    <w:p>
      <w:pPr>
        <w:jc w:val="left"/>
        <w:ind w:left="360" w:right="0" w:firstLine="0" w:hanging="0"/>
        <w:spacing w:after="60"/>
      </w:pPr>
      <w:r>
        <w:rPr>
          <w:sz w:val="18"/>
          <w:szCs w:val="18"/>
          <w:i w:val="1"/>
          <w:iCs w:val="1"/>
        </w:rPr>
        <w:t xml:space="preserve">[fn] This is the only time wool is used and that is strictly related to the Lamb.</w:t>
      </w:r>
    </w:p>
    <w:p>
      <w:pPr>
        <w:jc w:val="left"/>
        <w:ind w:left="360" w:right="0" w:firstLine="0" w:hanging="0"/>
        <w:spacing w:after="60"/>
      </w:pPr>
      <w:r>
        <w:rPr>
          <w:sz w:val="18"/>
          <w:szCs w:val="18"/>
          <w:i w:val="1"/>
          <w:iCs w:val="1"/>
        </w:rPr>
        <w:t xml:space="preserve">[fn] Does "white" apply to both head and hair? Yes, λευκαὶ applies to κεφαλή (head) + τρίχες (hairs)</w:t>
      </w:r>
    </w:p>
    <w:p>
      <w:pPr>
        <w:pStyle w:val="BodyVerse"/>
      </w:pPr>
      <w:r>
        <w:rPr>
          <w:b w:val="1"/>
          <w:bCs w:val="1"/>
        </w:rPr>
        <w:t xml:space="preserve">[[@Bible:Re 1:15]] </w:t>
      </w:r>
      <w:r>
        <w:rPr>
          <w:sz w:val="22"/>
          <w:szCs w:val="22"/>
          <w:b w:val="1"/>
          <w:bCs w:val="1"/>
          <w:vertAlign w:val="superscript"/>
        </w:rPr>
        <w:t xml:space="preserve">15  </w:t>
      </w:r>
      <w:r>
        <w:rPr/>
        <w:t xml:space="preserve">And </w:t>
      </w:r>
      <w:r>
        <w:rPr>
          <w:b w:val="1"/>
          <w:bCs w:val="1"/>
        </w:rPr>
        <w:t xml:space="preserve">his feet like unto fine brass, as if they burned in a furnace</w:t>
      </w:r>
      <w:r>
        <w:rPr/>
        <w:t xml:space="preserve"> </w:t>
      </w:r>
      <w:r>
        <w:rPr>
          <w:rStyle w:val="FootnoteReference"/>
        </w:rPr>
        <w:footnoteReference w:id="29"/>
      </w:r>
      <w:r>
        <w:rPr/>
        <w:t xml:space="preserve">; and </w:t>
      </w:r>
      <w:r>
        <w:rPr>
          <w:b w:val="1"/>
          <w:bCs w:val="1"/>
        </w:rPr>
        <w:t xml:space="preserve">his voice as the sound of many waters</w:t>
      </w:r>
      <w:r>
        <w:rPr/>
        <w:t xml:space="preserve"> </w:t>
      </w:r>
      <w:r>
        <w:rPr>
          <w:rStyle w:val="FootnoteReference"/>
        </w:rPr>
        <w:footnoteReference w:id="30"/>
      </w:r>
      <w:r>
        <w:rPr/>
        <w:t xml:space="preserve">.</w:t>
      </w:r>
    </w:p>
    <w:p>
      <w:pPr>
        <w:pStyle w:val="BodyVerse"/>
      </w:pPr>
      <w:r>
        <w:rPr>
          <w:b w:val="1"/>
          <w:bCs w:val="1"/>
        </w:rPr>
        <w:t xml:space="preserve">[[@Bible:Re 1:16]] </w:t>
      </w:r>
      <w:r>
        <w:rPr>
          <w:sz w:val="22"/>
          <w:szCs w:val="22"/>
          <w:b w:val="1"/>
          <w:bCs w:val="1"/>
          <w:vertAlign w:val="superscript"/>
        </w:rPr>
        <w:t xml:space="preserve">16  </w:t>
      </w:r>
      <w:r>
        <w:rPr/>
        <w:t xml:space="preserve">And he had in his </w:t>
      </w:r>
      <w:r>
        <w:rPr>
          <w:b w:val="1"/>
          <w:bCs w:val="1"/>
        </w:rPr>
        <w:t xml:space="preserve">right hand</w:t>
      </w:r>
      <w:r>
        <w:rPr/>
        <w:t xml:space="preserve"> </w:t>
      </w:r>
      <w:r>
        <w:rPr>
          <w:rStyle w:val="FootnoteReference"/>
        </w:rPr>
        <w:footnoteReference w:id="31"/>
      </w:r>
      <w:r>
        <w:rPr/>
        <w:t xml:space="preserve"> </w:t>
      </w:r>
      <w:r>
        <w:rPr>
          <w:b w:val="1"/>
          <w:bCs w:val="1"/>
        </w:rPr>
        <w:t xml:space="preserve">seven stars</w:t>
      </w:r>
      <w:r>
        <w:rPr/>
        <w:t xml:space="preserve"> </w:t>
      </w:r>
      <w:r>
        <w:rPr>
          <w:rStyle w:val="FootnoteReference"/>
        </w:rPr>
        <w:footnoteReference w:id="32"/>
      </w:r>
      <w:r>
        <w:rPr/>
        <w:t xml:space="preserve"> </w:t>
      </w:r>
      <w:r>
        <w:rPr>
          <w:rStyle w:val="FootnoteReference"/>
        </w:rPr>
        <w:footnoteReference w:id="33"/>
      </w:r>
      <w:r>
        <w:rPr/>
        <w:t xml:space="preserve">: and out of his mouth went a sharp </w:t>
      </w:r>
      <w:r>
        <w:rPr>
          <w:b w:val="1"/>
          <w:bCs w:val="1"/>
        </w:rPr>
        <w:t xml:space="preserve">two-edged sword</w:t>
      </w:r>
      <w:r>
        <w:rPr/>
        <w:t xml:space="preserve"> </w:t>
      </w:r>
      <w:r>
        <w:rPr>
          <w:rStyle w:val="FootnoteReference"/>
        </w:rPr>
        <w:footnoteReference w:id="34"/>
      </w:r>
      <w:r>
        <w:rPr/>
        <w:t xml:space="preserve">: and </w:t>
      </w:r>
      <w:r>
        <w:rPr>
          <w:b w:val="1"/>
          <w:bCs w:val="1"/>
        </w:rPr>
        <w:t xml:space="preserve">his countenance was as the sun shines in his might</w:t>
      </w:r>
      <w:r>
        <w:rPr/>
        <w:t xml:space="preserve"> </w:t>
      </w:r>
      <w:r>
        <w:rPr>
          <w:rStyle w:val="FootnoteReference"/>
        </w:rPr>
        <w:footnoteReference w:id="35"/>
      </w:r>
      <w:r>
        <w:rPr/>
        <w:t xml:space="preserve">.</w:t>
      </w:r>
    </w:p>
    <w:p>
      <w:pPr>
        <w:pStyle w:val="BodyVerse"/>
      </w:pPr>
      <w:r>
        <w:rPr>
          <w:b w:val="1"/>
          <w:bCs w:val="1"/>
        </w:rPr>
        <w:t xml:space="preserve">[[@Bible:Re 1:17]] </w:t>
      </w:r>
      <w:r>
        <w:rPr>
          <w:sz w:val="22"/>
          <w:szCs w:val="22"/>
          <w:b w:val="1"/>
          <w:bCs w:val="1"/>
          <w:vertAlign w:val="superscript"/>
        </w:rPr>
        <w:t xml:space="preserve">17  </w:t>
      </w:r>
      <w:r>
        <w:rPr/>
        <w:t xml:space="preserve">And when I saw him, </w:t>
      </w:r>
      <w:r>
        <w:rPr>
          <w:b w:val="1"/>
          <w:bCs w:val="1"/>
        </w:rPr>
        <w:t xml:space="preserve">I fell at his feet as dead</w:t>
      </w:r>
      <w:r>
        <w:rPr/>
        <w:t xml:space="preserve"> </w:t>
      </w:r>
      <w:r>
        <w:rPr>
          <w:rStyle w:val="FootnoteReference"/>
        </w:rPr>
        <w:footnoteReference w:id="36"/>
      </w:r>
      <w:r>
        <w:rPr/>
        <w:t xml:space="preserve">. And he laid his </w:t>
      </w:r>
      <w:r>
        <w:rPr>
          <w:b w:val="1"/>
          <w:bCs w:val="1"/>
        </w:rPr>
        <w:t xml:space="preserve">right hand</w:t>
      </w:r>
      <w:r>
        <w:rPr/>
        <w:t xml:space="preserve"> </w:t>
      </w:r>
      <w:r>
        <w:rPr>
          <w:rStyle w:val="FootnoteReference"/>
        </w:rPr>
        <w:footnoteReference w:id="37"/>
      </w:r>
      <w:r>
        <w:rPr/>
        <w:t xml:space="preserve"> upon me, saying unto me, Fear not; I am the </w:t>
      </w:r>
      <w:r>
        <w:rPr>
          <w:b w:val="1"/>
          <w:bCs w:val="1"/>
        </w:rPr>
        <w:t xml:space="preserve">first and the last</w:t>
      </w:r>
      <w:r>
        <w:rPr/>
        <w:t xml:space="preserve"> </w:t>
      </w:r>
      <w:r>
        <w:rPr>
          <w:rStyle w:val="FootnoteReference"/>
        </w:rPr>
        <w:footnoteReference w:id="38"/>
      </w:r>
      <w:r>
        <w:rPr/>
        <w:t xml:space="preserve">:</w:t>
      </w:r>
    </w:p>
    <w:p>
      <w:pPr>
        <w:pStyle w:val="BodyVerse"/>
      </w:pPr>
      <w:r>
        <w:rPr>
          <w:b w:val="1"/>
          <w:bCs w:val="1"/>
        </w:rPr>
        <w:t xml:space="preserve">[[@Bible:Re 1:18]] </w:t>
      </w:r>
      <w:r>
        <w:rPr>
          <w:sz w:val="22"/>
          <w:szCs w:val="22"/>
          <w:b w:val="1"/>
          <w:bCs w:val="1"/>
          <w:vertAlign w:val="superscript"/>
        </w:rPr>
        <w:t xml:space="preserve">18  </w:t>
      </w:r>
      <w:r>
        <w:rPr>
          <w:b w:val="1"/>
          <w:bCs w:val="1"/>
        </w:rPr>
        <w:t xml:space="preserve">I am he that lives, and was dead; and, behold, I am alive forevermore</w:t>
      </w:r>
      <w:r>
        <w:rPr/>
        <w:t xml:space="preserve"> </w:t>
      </w:r>
      <w:r>
        <w:rPr>
          <w:rStyle w:val="FootnoteReference"/>
        </w:rPr>
        <w:footnoteReference w:id="39"/>
      </w:r>
      <w:r>
        <w:rPr/>
        <w:t xml:space="preserve">; and have the </w:t>
      </w:r>
      <w:r>
        <w:rPr>
          <w:b w:val="1"/>
          <w:bCs w:val="1"/>
        </w:rPr>
        <w:t xml:space="preserve">keys</w:t>
      </w:r>
      <w:r>
        <w:rPr/>
        <w:t xml:space="preserve"> </w:t>
      </w:r>
      <w:r>
        <w:rPr>
          <w:rStyle w:val="FootnoteReference"/>
        </w:rPr>
        <w:footnoteReference w:id="40"/>
      </w:r>
      <w:r>
        <w:rPr/>
        <w:t xml:space="preserve"> of </w:t>
      </w:r>
      <w:r>
        <w:rPr>
          <w:b w:val="1"/>
          <w:bCs w:val="1"/>
        </w:rPr>
        <w:t xml:space="preserve">death and of hell </w:t>
      </w:r>
      <w:r>
        <w:rPr/>
        <w:t xml:space="preserve"> </w:t>
      </w:r>
      <w:r>
        <w:rPr>
          <w:rStyle w:val="FootnoteReference"/>
        </w:rPr>
        <w:footnoteReference w:id="41"/>
      </w:r>
      <w:r>
        <w:rPr/>
        <w:t xml:space="preserve">.</w:t>
      </w:r>
    </w:p>
    <w:p>
      <w:pPr>
        <w:pStyle w:val="BodyVerse"/>
      </w:pPr>
      <w:r>
        <w:rPr>
          <w:b w:val="1"/>
          <w:bCs w:val="1"/>
        </w:rPr>
        <w:t xml:space="preserve">[[@Bible:Re 1:19]] </w:t>
      </w:r>
      <w:r>
        <w:rPr>
          <w:sz w:val="22"/>
          <w:szCs w:val="22"/>
          <w:b w:val="1"/>
          <w:bCs w:val="1"/>
          <w:vertAlign w:val="superscript"/>
        </w:rPr>
        <w:t xml:space="preserve">19  </w:t>
      </w:r>
      <w:r>
        <w:rPr>
          <w:b w:val="1"/>
          <w:bCs w:val="1"/>
        </w:rPr>
        <w:t xml:space="preserve">Write the things which you have seen</w:t>
      </w:r>
      <w:r>
        <w:rPr/>
        <w:t xml:space="preserve"> </w:t>
      </w:r>
      <w:r>
        <w:rPr>
          <w:rStyle w:val="FootnoteReference"/>
        </w:rPr>
        <w:footnoteReference w:id="42"/>
      </w:r>
      <w:r>
        <w:rPr/>
        <w:t xml:space="preserve">, and the things which are, and the </w:t>
      </w:r>
      <w:r>
        <w:rPr>
          <w:b w:val="1"/>
          <w:bCs w:val="1"/>
        </w:rPr>
        <w:t xml:space="preserve">things which shall be hereafter</w:t>
      </w:r>
      <w:r>
        <w:rPr/>
        <w:t xml:space="preserve"> </w:t>
      </w:r>
      <w:r>
        <w:rPr>
          <w:rStyle w:val="FootnoteReference"/>
        </w:rPr>
        <w:footnoteReference w:id="43"/>
      </w:r>
      <w:r>
        <w:rPr/>
        <w:t xml:space="preserve">;</w:t>
      </w:r>
    </w:p>
    <w:p>
      <w:pPr>
        <w:spacing w:after="150"/>
      </w:pPr>
      <w:r>
        <w:rPr/>
        <w:t xml:space="preserve"/>
      </w:r>
    </w:p>
    <w:p>
      <w:pPr>
        <w:pStyle w:val="Heading3"/>
      </w:pPr>
      <w:bookmarkStart w:id="8" w:name="_Toc8"/>
      <w:r>
        <w:t>Seven Churches</w:t>
      </w:r>
      <w:bookmarkEnd w:id="8"/>
    </w:p>
    <w:p>
      <w:pPr>
        <w:pStyle w:val="SectionBody"/>
      </w:pPr>
      <w:r>
        <w:rPr>
          <w:b w:val="1"/>
          <w:bCs w:val="1"/>
        </w:rPr>
        <w:t xml:space="preserve">Important Note:</w:t>
      </w:r>
      <w:r>
        <w:rPr/>
        <w:t xml:space="preserve"> It is not a highly important theological detail in the study of Revelation, but it is worth noting that there is [debate over whether the seven stars in Revelation 1 represent angels or the human leaders of the churches](/articles/who-are-the-stars-of-the-churches). Also, all the churches are told to "hear." We will see this again in Revelation 13:9, when the saints are given the choice to worship the beast or likely be killed. This kind of connection might lead one to think the church is destined for the tribulation. Yet the call to "hear" is not a link to identity but to obedience — a call directed to a particular people, the saints, whether outside or inside the tribulation.</w:t>
      </w:r>
    </w:p>
    <w:p>
      <w:pPr>
        <w:pStyle w:val="SectionBody"/>
      </w:pPr>
      <w:r>
        <w:rPr>
          <w:b w:val="1"/>
          <w:bCs w:val="1"/>
        </w:rPr>
        <w:t xml:space="preserve">Bookends:</w:t>
      </w:r>
      <w:r>
        <w:rPr/>
        <w:t xml:space="preserve"> There are bookends within the messages to the seven churches. the bookends are the opening and closing churches that need to return to God: Ephesus and Laodicea.</w:t>
      </w:r>
    </w:p>
    <w:p>
      <w:pPr>
        <w:spacing w:after="150"/>
      </w:pPr>
      <w:r>
        <w:rPr/>
        <w:t xml:space="preserve"/>
      </w:r>
    </w:p>
    <w:p>
      <w:pPr>
        <w:pStyle w:val="BodyVerse"/>
      </w:pPr>
      <w:r>
        <w:rPr>
          <w:b w:val="1"/>
          <w:bCs w:val="1"/>
        </w:rPr>
        <w:t xml:space="preserve">[[@Bible:Re 1:20]] </w:t>
      </w:r>
      <w:r>
        <w:rPr>
          <w:sz w:val="22"/>
          <w:szCs w:val="22"/>
          <w:b w:val="1"/>
          <w:bCs w:val="1"/>
          <w:vertAlign w:val="superscript"/>
        </w:rPr>
        <w:t xml:space="preserve">20  </w:t>
      </w:r>
      <w:r>
        <w:rPr/>
        <w:t xml:space="preserve">The </w:t>
      </w:r>
      <w:r>
        <w:rPr>
          <w:b w:val="1"/>
          <w:bCs w:val="1"/>
        </w:rPr>
        <w:t xml:space="preserve">mystery</w:t>
      </w:r>
      <w:r>
        <w:rPr/>
        <w:t xml:space="preserve"> </w:t>
      </w:r>
      <w:r>
        <w:rPr>
          <w:rStyle w:val="FootnoteReference"/>
        </w:rPr>
        <w:footnoteReference w:id="44"/>
      </w:r>
      <w:r>
        <w:rPr/>
        <w:t xml:space="preserve"> of the </w:t>
      </w:r>
      <w:r>
        <w:rPr>
          <w:b w:val="1"/>
          <w:bCs w:val="1"/>
        </w:rPr>
        <w:t xml:space="preserve">seven stars</w:t>
      </w:r>
      <w:r>
        <w:rPr/>
        <w:t xml:space="preserve"> </w:t>
      </w:r>
      <w:r>
        <w:rPr>
          <w:rStyle w:val="FootnoteReference"/>
        </w:rPr>
        <w:footnoteReference w:id="45"/>
      </w:r>
      <w:r>
        <w:rPr/>
        <w:t xml:space="preserve"> in my </w:t>
      </w:r>
      <w:r>
        <w:rPr>
          <w:b w:val="1"/>
          <w:bCs w:val="1"/>
        </w:rPr>
        <w:t xml:space="preserve">right hand</w:t>
      </w:r>
      <w:r>
        <w:rPr/>
        <w:t xml:space="preserve"> </w:t>
      </w:r>
      <w:r>
        <w:rPr>
          <w:rStyle w:val="FootnoteReference"/>
        </w:rPr>
        <w:footnoteReference w:id="46"/>
      </w:r>
      <w:r>
        <w:rPr/>
        <w:t xml:space="preserve">, and the seven golden </w:t>
      </w:r>
      <w:r>
        <w:rPr>
          <w:b w:val="1"/>
          <w:bCs w:val="1"/>
        </w:rPr>
        <w:t xml:space="preserve">lampstands</w:t>
      </w:r>
      <w:r>
        <w:rPr/>
        <w:t xml:space="preserve"> </w:t>
      </w:r>
      <w:r>
        <w:rPr>
          <w:rStyle w:val="FootnoteReference"/>
        </w:rPr>
        <w:footnoteReference w:id="47"/>
      </w:r>
      <w:r>
        <w:rPr/>
        <w:t xml:space="preserve">. The </w:t>
      </w:r>
      <w:r>
        <w:rPr>
          <w:b w:val="1"/>
          <w:bCs w:val="1"/>
        </w:rPr>
        <w:t xml:space="preserve">seven stars</w:t>
      </w:r>
      <w:r>
        <w:rPr/>
        <w:t xml:space="preserve"> </w:t>
      </w:r>
      <w:r>
        <w:rPr>
          <w:rStyle w:val="FootnoteReference"/>
        </w:rPr>
        <w:footnoteReference w:id="48"/>
      </w:r>
      <w:r>
        <w:rPr/>
        <w:t xml:space="preserve"> are the </w:t>
      </w:r>
      <w:r>
        <w:rPr>
          <w:b w:val="1"/>
          <w:bCs w:val="1"/>
        </w:rPr>
        <w:t xml:space="preserve">messengers of the seven churches</w:t>
      </w:r>
      <w:r>
        <w:rPr/>
        <w:t xml:space="preserve"> </w:t>
      </w:r>
      <w:r>
        <w:rPr>
          <w:rStyle w:val="FootnoteReference"/>
        </w:rPr>
        <w:footnoteReference w:id="49"/>
      </w:r>
      <w:r>
        <w:rPr/>
        <w:t xml:space="preserve">: and the seven </w:t>
      </w:r>
      <w:r>
        <w:rPr>
          <w:b w:val="1"/>
          <w:bCs w:val="1"/>
        </w:rPr>
        <w:t xml:space="preserve">lampstands</w:t>
      </w:r>
      <w:r>
        <w:rPr/>
        <w:t xml:space="preserve"> </w:t>
      </w:r>
      <w:r>
        <w:rPr>
          <w:rStyle w:val="FootnoteReference"/>
        </w:rPr>
        <w:footnoteReference w:id="50"/>
      </w:r>
      <w:r>
        <w:rPr/>
        <w:t xml:space="preserve"> which you saw are the seven churches.</w:t>
      </w:r>
    </w:p>
    <w:p>
      <w:pPr>
        <w:jc w:val="left"/>
        <w:ind w:left="360" w:right="0" w:firstLine="0" w:hanging="0"/>
        <w:spacing w:after="60"/>
      </w:pPr>
      <w:r>
        <w:rPr>
          <w:sz w:val="18"/>
          <w:szCs w:val="18"/>
          <w:i w:val="1"/>
          <w:iCs w:val="1"/>
        </w:rPr>
        <w:t xml:space="preserve">[fn] See the 12 stars in Chapter 12; these are the 12 tribes in Chapter 12, and these 7 stars are of the church messengers. Both are the human leaders of their respective groups.</w:t>
      </w:r>
    </w:p>
    <w:p>
      <w:pPr>
        <w:spacing w:after="150"/>
      </w:pPr>
      <w:r>
        <w:rPr/>
        <w:t xml:space="preserve"/>
      </w:r>
    </w:p>
    <w:p>
      <w:pPr>
        <w:pStyle w:val="Heading3"/>
      </w:pPr>
      <w:bookmarkStart w:id="9" w:name="_Toc9"/>
      <w:r>
        <w:t>#1 Left Jesus - Message to Ephesus: Left First Love</w:t>
      </w:r>
      <w:bookmarkEnd w:id="9"/>
    </w:p>
    <w:p>
      <w:pPr>
        <w:pStyle w:val="SectionBody"/>
      </w:pPr>
      <w:r>
        <w:rPr>
          <w:b w:val="1"/>
          <w:bCs w:val="1"/>
        </w:rPr>
        <w:t xml:space="preserve">Important Note:</w:t>
      </w:r>
      <w:r>
        <w:rPr/>
        <w:t xml:space="preserve"> This church is also shown to need to repent, and there is a promise of the tree of life.</w:t>
      </w:r>
    </w:p>
    <w:p>
      <w:pPr>
        <w:spacing w:after="150"/>
      </w:pPr>
      <w:r>
        <w:rPr/>
        <w:t xml:space="preserve"/>
      </w:r>
    </w:p>
    <w:p>
      <w:pPr>
        <w:pStyle w:val="BodyVerse"/>
      </w:pPr>
      <w:r>
        <w:rPr>
          <w:b w:val="1"/>
          <w:bCs w:val="1"/>
        </w:rPr>
        <w:t xml:space="preserve">[[@Bible:Re 2:1]] </w:t>
      </w:r>
      <w:r>
        <w:rPr>
          <w:sz w:val="22"/>
          <w:szCs w:val="22"/>
          <w:b w:val="1"/>
          <w:bCs w:val="1"/>
          <w:vertAlign w:val="superscript"/>
        </w:rPr>
        <w:t xml:space="preserve">1  </w:t>
      </w:r>
      <w:r>
        <w:rPr/>
        <w:t xml:space="preserve">Unto the messenger of the church of Ephesus </w:t>
      </w:r>
      <w:r>
        <w:rPr>
          <w:b w:val="1"/>
          <w:bCs w:val="1"/>
        </w:rPr>
        <w:t xml:space="preserve">write</w:t>
      </w:r>
      <w:r>
        <w:rPr/>
        <w:t xml:space="preserve"> </w:t>
      </w:r>
      <w:r>
        <w:rPr>
          <w:rStyle w:val="FootnoteReference"/>
        </w:rPr>
        <w:footnoteReference w:id="51"/>
      </w:r>
      <w:r>
        <w:rPr/>
        <w:t xml:space="preserve">; These things says he who holds the </w:t>
      </w:r>
      <w:r>
        <w:rPr>
          <w:b w:val="1"/>
          <w:bCs w:val="1"/>
        </w:rPr>
        <w:t xml:space="preserve">seven stars</w:t>
      </w:r>
      <w:r>
        <w:rPr/>
        <w:t xml:space="preserve"> </w:t>
      </w:r>
      <w:r>
        <w:rPr>
          <w:rStyle w:val="FootnoteReference"/>
        </w:rPr>
        <w:footnoteReference w:id="52"/>
      </w:r>
      <w:r>
        <w:rPr/>
        <w:t xml:space="preserve"> in his </w:t>
      </w:r>
      <w:r>
        <w:rPr>
          <w:b w:val="1"/>
          <w:bCs w:val="1"/>
        </w:rPr>
        <w:t xml:space="preserve">right hand</w:t>
      </w:r>
      <w:r>
        <w:rPr/>
        <w:t xml:space="preserve"> </w:t>
      </w:r>
      <w:r>
        <w:rPr>
          <w:rStyle w:val="FootnoteReference"/>
        </w:rPr>
        <w:footnoteReference w:id="53"/>
      </w:r>
      <w:r>
        <w:rPr/>
        <w:t xml:space="preserve">, who walks in the midst of the seven golden </w:t>
      </w:r>
      <w:r>
        <w:rPr>
          <w:b w:val="1"/>
          <w:bCs w:val="1"/>
        </w:rPr>
        <w:t xml:space="preserve">lampstands</w:t>
      </w:r>
      <w:r>
        <w:rPr/>
        <w:t xml:space="preserve"> </w:t>
      </w:r>
      <w:r>
        <w:rPr>
          <w:rStyle w:val="FootnoteReference"/>
        </w:rPr>
        <w:footnoteReference w:id="54"/>
      </w:r>
      <w:r>
        <w:rPr/>
        <w:t xml:space="preserve">;</w:t>
      </w:r>
    </w:p>
    <w:p>
      <w:pPr>
        <w:pStyle w:val="BodyVerse"/>
      </w:pPr>
      <w:r>
        <w:rPr>
          <w:b w:val="1"/>
          <w:bCs w:val="1"/>
        </w:rPr>
        <w:t xml:space="preserve">[[@Bible:Re 2:2]] </w:t>
      </w:r>
      <w:r>
        <w:rPr>
          <w:sz w:val="22"/>
          <w:szCs w:val="22"/>
          <w:b w:val="1"/>
          <w:bCs w:val="1"/>
          <w:vertAlign w:val="superscript"/>
        </w:rPr>
        <w:t xml:space="preserve">2  </w:t>
      </w:r>
      <w:r>
        <w:rPr/>
        <w:t xml:space="preserve">I know thy </w:t>
      </w:r>
      <w:r>
        <w:rPr>
          <w:b w:val="1"/>
          <w:bCs w:val="1"/>
        </w:rPr>
        <w:t xml:space="preserve">works</w:t>
      </w:r>
      <w:r>
        <w:rPr/>
        <w:t xml:space="preserve"> </w:t>
      </w:r>
      <w:r>
        <w:rPr>
          <w:rStyle w:val="FootnoteReference"/>
        </w:rPr>
        <w:footnoteReference w:id="55"/>
      </w:r>
      <w:r>
        <w:rPr/>
        <w:t xml:space="preserve"> </w:t>
      </w:r>
      <w:r>
        <w:rPr>
          <w:rStyle w:val="FootnoteReference"/>
        </w:rPr>
        <w:footnoteReference w:id="56"/>
      </w:r>
      <w:r>
        <w:rPr/>
        <w:t xml:space="preserve">, and thy </w:t>
      </w:r>
      <w:r>
        <w:rPr>
          <w:b w:val="1"/>
          <w:bCs w:val="1"/>
        </w:rPr>
        <w:t xml:space="preserve">labour</w:t>
      </w:r>
      <w:r>
        <w:rPr/>
        <w:t xml:space="preserve"> </w:t>
      </w:r>
      <w:r>
        <w:rPr>
          <w:rStyle w:val="FootnoteReference"/>
        </w:rPr>
        <w:footnoteReference w:id="57"/>
      </w:r>
      <w:r>
        <w:rPr/>
        <w:t xml:space="preserve">,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2"/>
          <w:szCs w:val="22"/>
          <w:b w:val="1"/>
          <w:bCs w:val="1"/>
          <w:vertAlign w:val="superscript"/>
        </w:rPr>
        <w:t xml:space="preserve">3  </w:t>
      </w:r>
      <w:r>
        <w:rPr/>
        <w:t xml:space="preserve">And have endurance, and have patience</w:t>
      </w:r>
      <w:r>
        <w:rPr/>
        <w:t xml:space="preserve"> for my name’s sake </w:t>
      </w:r>
      <w:r>
        <w:rPr/>
        <w:t xml:space="preserve">, and have not become weary.</w:t>
      </w:r>
    </w:p>
    <w:p>
      <w:pPr>
        <w:pStyle w:val="BodyVerse"/>
      </w:pPr>
      <w:r>
        <w:rPr>
          <w:b w:val="1"/>
          <w:bCs w:val="1"/>
        </w:rPr>
        <w:t xml:space="preserve">[[@Bible:Re 2:4]] </w:t>
      </w:r>
      <w:r>
        <w:rPr>
          <w:sz w:val="22"/>
          <w:szCs w:val="22"/>
          <w:b w:val="1"/>
          <w:bCs w:val="1"/>
          <w:vertAlign w:val="superscript"/>
        </w:rPr>
        <w:t xml:space="preserve">4  </w:t>
      </w:r>
      <w:r>
        <w:rPr/>
        <w:t xml:space="preserve">Nevertheless, I have this </w:t>
      </w:r>
      <w:r>
        <w:rPr/>
        <w:t xml:space="preserve"> against you, because </w:t>
      </w:r>
      <w:r>
        <w:rPr>
          <w:b w:val="1"/>
          <w:bCs w:val="1"/>
        </w:rPr>
        <w:t xml:space="preserve">because the love that you had at first, you left.</w:t>
      </w:r>
      <w:r>
        <w:rPr/>
        <w:t xml:space="preserve"> </w:t>
      </w:r>
      <w:r>
        <w:rPr>
          <w:rStyle w:val="FootnoteReference"/>
        </w:rPr>
        <w:footnoteReference w:id="58"/>
      </w:r>
      <w:r>
        <w:rPr/>
        <w:t xml:space="preserve">.</w:t>
      </w:r>
    </w:p>
    <w:p>
      <w:pPr>
        <w:pStyle w:val="BodyVerse"/>
      </w:pPr>
      <w:r>
        <w:rPr>
          <w:b w:val="1"/>
          <w:bCs w:val="1"/>
        </w:rPr>
        <w:t xml:space="preserve">[[@Bible:Re 2:5]] </w:t>
      </w:r>
      <w:r>
        <w:rPr>
          <w:sz w:val="22"/>
          <w:szCs w:val="22"/>
          <w:b w:val="1"/>
          <w:bCs w:val="1"/>
          <w:vertAlign w:val="superscript"/>
        </w:rPr>
        <w:t xml:space="preserve">5  </w:t>
      </w:r>
      <w:r>
        <w:rPr/>
        <w:t xml:space="preserve">Remember therefore from where you have fallen, and </w:t>
      </w:r>
      <w:r>
        <w:rPr>
          <w:b w:val="1"/>
          <w:bCs w:val="1"/>
        </w:rPr>
        <w:t xml:space="preserve">repent</w:t>
      </w:r>
      <w:r>
        <w:rPr/>
        <w:t xml:space="preserve"> </w:t>
      </w:r>
      <w:r>
        <w:rPr>
          <w:rStyle w:val="FootnoteReference"/>
        </w:rPr>
        <w:footnoteReference w:id="59"/>
      </w:r>
      <w:r>
        <w:rPr/>
        <w:t xml:space="preserve">, and do the first works; or else </w:t>
      </w:r>
      <w:r>
        <w:rPr>
          <w:b w:val="1"/>
          <w:bCs w:val="1"/>
        </w:rPr>
        <w:t xml:space="preserve">I will come unto you</w:t>
      </w:r>
      <w:r>
        <w:rPr/>
        <w:t xml:space="preserve"> </w:t>
      </w:r>
      <w:r>
        <w:rPr/>
        <w:t xml:space="preserve"> </w:t>
      </w:r>
      <w:r>
        <w:rPr>
          <w:rStyle w:val="FootnoteReference"/>
        </w:rPr>
        <w:footnoteReference w:id="60"/>
      </w:r>
      <w:r>
        <w:rPr/>
        <w:t xml:space="preserve">, and will remove thy lampstand out of his place, except you repent.</w:t>
      </w:r>
    </w:p>
    <w:p>
      <w:pPr>
        <w:pStyle w:val="BodyVerse"/>
      </w:pPr>
      <w:r>
        <w:rPr>
          <w:b w:val="1"/>
          <w:bCs w:val="1"/>
        </w:rPr>
        <w:t xml:space="preserve">[[@Bible:Re 2:6]] </w:t>
      </w:r>
      <w:r>
        <w:rPr>
          <w:sz w:val="22"/>
          <w:szCs w:val="22"/>
          <w:b w:val="1"/>
          <w:bCs w:val="1"/>
          <w:vertAlign w:val="superscript"/>
        </w:rPr>
        <w:t xml:space="preserve">6  </w:t>
      </w:r>
      <w:r>
        <w:rPr/>
        <w:t xml:space="preserve">But this you have, that you hate the deeds of the </w:t>
      </w:r>
      <w:r>
        <w:rPr>
          <w:b w:val="1"/>
          <w:bCs w:val="1"/>
        </w:rPr>
        <w:t xml:space="preserve">Nicolaitans </w:t>
      </w:r>
      <w:r>
        <w:rPr/>
        <w:t xml:space="preserve"> </w:t>
      </w:r>
      <w:r>
        <w:rPr>
          <w:rStyle w:val="FootnoteReference"/>
        </w:rPr>
        <w:footnoteReference w:id="61"/>
      </w:r>
      <w:r>
        <w:rPr/>
        <w:t xml:space="preserve">, which I also hate.</w:t>
      </w:r>
    </w:p>
    <w:p>
      <w:pPr>
        <w:pStyle w:val="BodyVerse"/>
      </w:pPr>
      <w:r>
        <w:rPr>
          <w:b w:val="1"/>
          <w:bCs w:val="1"/>
        </w:rPr>
        <w:t xml:space="preserve">[[@Bible:Re 2:7]] </w:t>
      </w:r>
      <w:r>
        <w:rPr>
          <w:sz w:val="22"/>
          <w:szCs w:val="22"/>
          <w:b w:val="1"/>
          <w:bCs w:val="1"/>
          <w:vertAlign w:val="superscript"/>
        </w:rPr>
        <w:t xml:space="preserve">7  </w:t>
      </w:r>
      <w:r>
        <w:rPr/>
        <w:t xml:space="preserve">He who has an ear, let him </w:t>
      </w:r>
      <w:r>
        <w:rPr>
          <w:b w:val="1"/>
          <w:bCs w:val="1"/>
        </w:rPr>
        <w:t xml:space="preserve">hear</w:t>
      </w:r>
      <w:r>
        <w:rPr/>
        <w:t xml:space="preserve"> </w:t>
      </w:r>
      <w:r>
        <w:rPr>
          <w:rStyle w:val="FootnoteReference"/>
        </w:rPr>
        <w:footnoteReference w:id="62"/>
      </w:r>
      <w:r>
        <w:rPr/>
        <w:t xml:space="preserve"> what </w:t>
      </w:r>
      <w:r>
        <w:rPr>
          <w:b w:val="1"/>
          <w:bCs w:val="1"/>
        </w:rPr>
        <w:t xml:space="preserve">the Spirit says</w:t>
      </w:r>
      <w:r>
        <w:rPr/>
        <w:t xml:space="preserve"> </w:t>
      </w:r>
      <w:r>
        <w:rPr>
          <w:rStyle w:val="FootnoteReference"/>
        </w:rPr>
        <w:footnoteReference w:id="63"/>
      </w:r>
      <w:r>
        <w:rPr/>
        <w:t xml:space="preserve"> unto the churches; To him who </w:t>
      </w:r>
      <w:r>
        <w:rPr>
          <w:b w:val="1"/>
          <w:bCs w:val="1"/>
        </w:rPr>
        <w:t xml:space="preserve">overcomes</w:t>
      </w:r>
      <w:r>
        <w:rPr/>
        <w:t xml:space="preserve"> </w:t>
      </w:r>
      <w:r>
        <w:rPr>
          <w:rStyle w:val="FootnoteReference"/>
        </w:rPr>
        <w:footnoteReference w:id="64"/>
      </w:r>
      <w:r>
        <w:rPr/>
        <w:t xml:space="preserve"> will I give to eat of the </w:t>
      </w:r>
      <w:r>
        <w:rPr>
          <w:b w:val="1"/>
          <w:bCs w:val="1"/>
        </w:rPr>
        <w:t xml:space="preserve">tree of life</w:t>
      </w:r>
      <w:r>
        <w:rPr/>
        <w:t xml:space="preserve"> </w:t>
      </w:r>
      <w:r>
        <w:rPr>
          <w:rStyle w:val="FootnoteReference"/>
        </w:rPr>
        <w:footnoteReference w:id="65"/>
      </w:r>
      <w:r>
        <w:rPr/>
        <w:t xml:space="preserve">, which is in </w:t>
      </w:r>
      <w:r>
        <w:rPr/>
        <w:t xml:space="preserve"> the paradise of God.</w:t>
      </w:r>
    </w:p>
    <w:p>
      <w:pPr>
        <w:spacing w:after="150"/>
      </w:pPr>
      <w:r>
        <w:rPr/>
        <w:t xml:space="preserve"/>
      </w:r>
    </w:p>
    <w:p>
      <w:pPr>
        <w:pStyle w:val="Heading3"/>
      </w:pPr>
      <w:bookmarkStart w:id="10" w:name="_Toc10"/>
      <w:r>
        <w:t>#2 Crown - Message to Smyrna: Ten Days of Tribulation</w:t>
      </w:r>
      <w:bookmarkEnd w:id="10"/>
    </w:p>
    <w:p>
      <w:pPr>
        <w:pStyle w:val="SectionBody"/>
      </w:pPr>
      <w:r>
        <w:rPr>
          <w:b w:val="1"/>
          <w:bCs w:val="1"/>
        </w:rPr>
        <w:t xml:space="preserve">Important Note:</w:t>
      </w:r>
      <w:r>
        <w:rPr/>
        <w:t xml:space="preserve"> Smyrna mirrors Philadelphia, yet Philadelphia is promised to escape "the hour of temptation, which shall come upon all the world." This is not the ordinary expected temptation of the church; this is the one that comes on the whole world. Yet here, Smyrna is told to be faithful unto death.</w:t>
      </w:r>
    </w:p>
    <w:p>
      <w:pPr>
        <w:spacing w:after="150"/>
      </w:pPr>
      <w:r>
        <w:rPr/>
        <w:t xml:space="preserve"/>
      </w:r>
    </w:p>
    <w:p>
      <w:pPr>
        <w:pStyle w:val="BodyVerse"/>
      </w:pPr>
      <w:r>
        <w:rPr>
          <w:b w:val="1"/>
          <w:bCs w:val="1"/>
        </w:rPr>
        <w:t xml:space="preserve">[[@Bible:Re 2:8]] </w:t>
      </w:r>
      <w:r>
        <w:rPr>
          <w:sz w:val="22"/>
          <w:szCs w:val="22"/>
          <w:b w:val="1"/>
          <w:bCs w:val="1"/>
          <w:vertAlign w:val="superscript"/>
        </w:rPr>
        <w:t xml:space="preserve">8  </w:t>
      </w:r>
      <w:r>
        <w:rPr/>
        <w:t xml:space="preserve">And unto the messenger of the church in Smyrna </w:t>
      </w:r>
      <w:r>
        <w:rPr>
          <w:b w:val="1"/>
          <w:bCs w:val="1"/>
        </w:rPr>
        <w:t xml:space="preserve">write</w:t>
      </w:r>
      <w:r>
        <w:rPr/>
        <w:t xml:space="preserve"> </w:t>
      </w:r>
      <w:r>
        <w:rPr>
          <w:rStyle w:val="FootnoteReference"/>
        </w:rPr>
        <w:footnoteReference w:id="66"/>
      </w:r>
      <w:r>
        <w:rPr/>
        <w:t xml:space="preserve">; These things says the </w:t>
      </w:r>
      <w:r>
        <w:rPr>
          <w:b w:val="1"/>
          <w:bCs w:val="1"/>
        </w:rPr>
        <w:t xml:space="preserve">first and the last</w:t>
      </w:r>
      <w:r>
        <w:rPr/>
        <w:t xml:space="preserve"> </w:t>
      </w:r>
      <w:r>
        <w:rPr>
          <w:rStyle w:val="FootnoteReference"/>
        </w:rPr>
        <w:footnoteReference w:id="67"/>
      </w:r>
      <w:r>
        <w:rPr/>
        <w:t xml:space="preserve">, who was dead, and </w:t>
      </w:r>
      <w:r>
        <w:rPr>
          <w:b w:val="1"/>
          <w:bCs w:val="1"/>
        </w:rPr>
        <w:t xml:space="preserve">is alive</w:t>
      </w:r>
      <w:r>
        <w:rPr/>
        <w:t xml:space="preserve"> </w:t>
      </w:r>
      <w:r>
        <w:rPr>
          <w:rStyle w:val="FootnoteReference"/>
        </w:rPr>
        <w:footnoteReference w:id="68"/>
      </w:r>
      <w:r>
        <w:rPr/>
        <w:t xml:space="preserve"> </w:t>
      </w:r>
      <w:r>
        <w:rPr>
          <w:rStyle w:val="FootnoteReference"/>
        </w:rPr>
        <w:footnoteReference w:id="69"/>
      </w:r>
      <w:r>
        <w:rPr/>
        <w:t xml:space="preserve">;</w:t>
      </w:r>
    </w:p>
    <w:p>
      <w:pPr>
        <w:pStyle w:val="BodyVerse"/>
      </w:pPr>
      <w:r>
        <w:rPr>
          <w:b w:val="1"/>
          <w:bCs w:val="1"/>
        </w:rPr>
        <w:t xml:space="preserve">[[@Bible:Re 2:9]] </w:t>
      </w:r>
      <w:r>
        <w:rPr>
          <w:sz w:val="22"/>
          <w:szCs w:val="22"/>
          <w:b w:val="1"/>
          <w:bCs w:val="1"/>
          <w:vertAlign w:val="superscript"/>
        </w:rPr>
        <w:t xml:space="preserve">9  </w:t>
      </w:r>
      <w:r>
        <w:rPr/>
        <w:t xml:space="preserve">I know thy </w:t>
      </w:r>
      <w:r>
        <w:rPr/>
        <w:t xml:space="preserve"> tribulation, and poverty, (but you are rich) and I know the blasphemy of those who say they are Jews, and are not, but are the </w:t>
      </w:r>
      <w:r>
        <w:rPr>
          <w:b w:val="1"/>
          <w:bCs w:val="1"/>
        </w:rPr>
        <w:t xml:space="preserve">synagogue of Satan</w:t>
      </w:r>
      <w:r>
        <w:rPr/>
        <w:t xml:space="preserve"> </w:t>
      </w:r>
      <w:r>
        <w:rPr>
          <w:rStyle w:val="FootnoteReference"/>
        </w:rPr>
        <w:footnoteReference w:id="70"/>
      </w:r>
      <w:r>
        <w:rPr/>
        <w:t xml:space="preserve">.</w:t>
      </w:r>
    </w:p>
    <w:p>
      <w:pPr>
        <w:pStyle w:val="BodyVerse"/>
      </w:pPr>
      <w:r>
        <w:rPr>
          <w:b w:val="1"/>
          <w:bCs w:val="1"/>
        </w:rPr>
        <w:t xml:space="preserve">[[@Bible:Re 2:10]] </w:t>
      </w:r>
      <w:r>
        <w:rPr>
          <w:sz w:val="22"/>
          <w:szCs w:val="22"/>
          <w:b w:val="1"/>
          <w:bCs w:val="1"/>
          <w:vertAlign w:val="superscript"/>
        </w:rPr>
        <w:t xml:space="preserve">10  </w:t>
      </w:r>
      <w:r>
        <w:rPr/>
        <w:t xml:space="preserve">Fear not those things which you will suffer: behold, the devil shall cast some of you into prison, that you all may be tested; and you all shall have tribulation ten days. Be </w:t>
      </w:r>
      <w:r>
        <w:rPr>
          <w:b w:val="1"/>
          <w:bCs w:val="1"/>
        </w:rPr>
        <w:t xml:space="preserve">faithful unto death</w:t>
      </w:r>
      <w:r>
        <w:rPr/>
        <w:t xml:space="preserve"> </w:t>
      </w:r>
      <w:r>
        <w:rPr>
          <w:rStyle w:val="FootnoteReference"/>
        </w:rPr>
        <w:footnoteReference w:id="71"/>
      </w:r>
      <w:r>
        <w:rPr/>
        <w:t xml:space="preserve">, and I will give you a crown of life. </w:t>
      </w:r>
      <w:r>
        <w:rPr>
          <w:rStyle w:val="FootnoteReference"/>
        </w:rPr>
        <w:footnoteReference w:id="72"/>
      </w:r>
      <w:r>
        <w:rPr/>
        <w:t xml:space="preserve"> </w:t>
      </w:r>
      <w:r>
        <w:rPr>
          <w:rStyle w:val="FootnoteReference"/>
        </w:rPr>
        <w:footnoteReference w:id="73"/>
      </w:r>
    </w:p>
    <w:p>
      <w:pPr>
        <w:pStyle w:val="BodyVerse"/>
      </w:pPr>
      <w:r>
        <w:rPr>
          <w:b w:val="1"/>
          <w:bCs w:val="1"/>
        </w:rPr>
        <w:t xml:space="preserve">[[@Bible:Re 2:11]] </w:t>
      </w:r>
      <w:r>
        <w:rPr>
          <w:sz w:val="22"/>
          <w:szCs w:val="22"/>
          <w:b w:val="1"/>
          <w:bCs w:val="1"/>
          <w:vertAlign w:val="superscript"/>
        </w:rPr>
        <w:t xml:space="preserve">11  </w:t>
      </w:r>
      <w:r>
        <w:rPr/>
        <w:t xml:space="preserve">He who has an ear, let him </w:t>
      </w:r>
      <w:r>
        <w:rPr>
          <w:b w:val="1"/>
          <w:bCs w:val="1"/>
        </w:rPr>
        <w:t xml:space="preserve">hear</w:t>
      </w:r>
      <w:r>
        <w:rPr/>
        <w:t xml:space="preserve"> </w:t>
      </w:r>
      <w:r>
        <w:rPr>
          <w:rStyle w:val="FootnoteReference"/>
        </w:rPr>
        <w:footnoteReference w:id="74"/>
      </w:r>
      <w:r>
        <w:rPr/>
        <w:t xml:space="preserve"> what </w:t>
      </w:r>
      <w:r>
        <w:rPr>
          <w:b w:val="1"/>
          <w:bCs w:val="1"/>
        </w:rPr>
        <w:t xml:space="preserve">the Spirit says</w:t>
      </w:r>
      <w:r>
        <w:rPr/>
        <w:t xml:space="preserve"> </w:t>
      </w:r>
      <w:r>
        <w:rPr>
          <w:rStyle w:val="FootnoteReference"/>
        </w:rPr>
        <w:footnoteReference w:id="75"/>
      </w:r>
      <w:r>
        <w:rPr/>
        <w:t xml:space="preserve"> unto the churches; He who </w:t>
      </w:r>
      <w:r>
        <w:rPr>
          <w:b w:val="1"/>
          <w:bCs w:val="1"/>
        </w:rPr>
        <w:t xml:space="preserve">overcomes</w:t>
      </w:r>
      <w:r>
        <w:rPr/>
        <w:t xml:space="preserve"> </w:t>
      </w:r>
      <w:r>
        <w:rPr>
          <w:rStyle w:val="FootnoteReference"/>
        </w:rPr>
        <w:footnoteReference w:id="76"/>
      </w:r>
      <w:r>
        <w:rPr/>
        <w:t xml:space="preserve"> shall not be hurt of the second death.</w:t>
      </w:r>
    </w:p>
    <w:p>
      <w:pPr>
        <w:spacing w:after="150"/>
      </w:pPr>
      <w:r>
        <w:rPr/>
        <w:t xml:space="preserve"/>
      </w:r>
    </w:p>
    <w:p>
      <w:pPr>
        <w:pStyle w:val="Heading3"/>
      </w:pPr>
      <w:bookmarkStart w:id="11" w:name="_Toc11"/>
      <w:r>
        <w:t>#3 Fornication - Message to Pergamum: Doctrine of Balaam</w:t>
      </w:r>
      <w:bookmarkEnd w:id="11"/>
    </w:p>
    <w:p>
      <w:pPr>
        <w:pStyle w:val="SectionBody"/>
      </w:pPr>
      <w:r>
        <w:rPr>
          <w:b w:val="1"/>
          <w:bCs w:val="1"/>
        </w:rPr>
        <w:t xml:space="preserve">Important Note:</w:t>
      </w:r>
      <w:r>
        <w:rPr/>
        <w:t xml:space="preserve"> Jesus will come to this church with the sword of his mouth. A mirror of Thyatira, false teachers, idols, and fornication.</w:t>
      </w:r>
    </w:p>
    <w:p>
      <w:pPr>
        <w:spacing w:after="150"/>
      </w:pPr>
      <w:r>
        <w:rPr/>
        <w:t xml:space="preserve"/>
      </w:r>
    </w:p>
    <w:p>
      <w:pPr>
        <w:pStyle w:val="BodyVerse"/>
      </w:pPr>
      <w:r>
        <w:rPr>
          <w:b w:val="1"/>
          <w:bCs w:val="1"/>
        </w:rPr>
        <w:t xml:space="preserve">[[@Bible:Re 2:12]] </w:t>
      </w:r>
      <w:r>
        <w:rPr>
          <w:sz w:val="22"/>
          <w:szCs w:val="22"/>
          <w:b w:val="1"/>
          <w:bCs w:val="1"/>
          <w:vertAlign w:val="superscript"/>
        </w:rPr>
        <w:t xml:space="preserve">12  </w:t>
      </w:r>
      <w:r>
        <w:rPr/>
        <w:t xml:space="preserve">And to the messenger of the church in Pergamum </w:t>
      </w:r>
      <w:r>
        <w:rPr>
          <w:b w:val="1"/>
          <w:bCs w:val="1"/>
        </w:rPr>
        <w:t xml:space="preserve">write</w:t>
      </w:r>
      <w:r>
        <w:rPr/>
        <w:t xml:space="preserve"> </w:t>
      </w:r>
      <w:r>
        <w:rPr>
          <w:rStyle w:val="FootnoteReference"/>
        </w:rPr>
        <w:footnoteReference w:id="77"/>
      </w:r>
      <w:r>
        <w:rPr/>
        <w:t xml:space="preserve">; These things says he who has the sharp </w:t>
      </w:r>
      <w:r>
        <w:rPr>
          <w:b w:val="1"/>
          <w:bCs w:val="1"/>
        </w:rPr>
        <w:t xml:space="preserve">sword with two edges</w:t>
      </w:r>
      <w:r>
        <w:rPr/>
        <w:t xml:space="preserve"> </w:t>
      </w:r>
      <w:r>
        <w:rPr>
          <w:rStyle w:val="FootnoteReference"/>
        </w:rPr>
        <w:footnoteReference w:id="78"/>
      </w:r>
      <w:r>
        <w:rPr/>
        <w:t xml:space="preserve">;</w:t>
      </w:r>
    </w:p>
    <w:p>
      <w:pPr>
        <w:pStyle w:val="BodyVerse"/>
      </w:pPr>
      <w:r>
        <w:rPr>
          <w:b w:val="1"/>
          <w:bCs w:val="1"/>
        </w:rPr>
        <w:t xml:space="preserve">[[@Bible:Re 2:13]] </w:t>
      </w:r>
      <w:r>
        <w:rPr>
          <w:sz w:val="22"/>
          <w:szCs w:val="22"/>
          <w:b w:val="1"/>
          <w:bCs w:val="1"/>
          <w:vertAlign w:val="superscript"/>
        </w:rPr>
        <w:t xml:space="preserve">13  </w:t>
      </w:r>
      <w:r>
        <w:rPr/>
        <w:t xml:space="preserve">I know </w:t>
      </w:r>
      <w:r>
        <w:rPr/>
        <w:t xml:space="preserve"> where you dwell, even where Satan’s throne is: and you hold fast my name, and have not denied my </w:t>
      </w:r>
      <w:r>
        <w:rPr>
          <w:b w:val="1"/>
          <w:bCs w:val="1"/>
        </w:rPr>
        <w:t xml:space="preserve">faith</w:t>
      </w:r>
      <w:r>
        <w:rPr/>
        <w:t xml:space="preserve"> </w:t>
      </w:r>
      <w:r>
        <w:rPr>
          <w:rStyle w:val="FootnoteReference"/>
        </w:rPr>
        <w:footnoteReference w:id="79"/>
      </w:r>
      <w:r>
        <w:rPr/>
        <w:t xml:space="preserve"> </w:t>
      </w:r>
      <w:r>
        <w:rPr>
          <w:rStyle w:val="FootnoteReference"/>
        </w:rPr>
        <w:footnoteReference w:id="80"/>
      </w:r>
      <w:r>
        <w:rPr/>
        <w:t xml:space="preserve">, even those days in which Antipas was my faithful witness, who was slain among you, where Satan dwells.</w:t>
      </w:r>
    </w:p>
    <w:p>
      <w:pPr>
        <w:pStyle w:val="BodyVerse"/>
      </w:pPr>
      <w:r>
        <w:rPr>
          <w:b w:val="1"/>
          <w:bCs w:val="1"/>
        </w:rPr>
        <w:t xml:space="preserve">[[@Bible:Re 2:14]] </w:t>
      </w:r>
      <w:r>
        <w:rPr>
          <w:sz w:val="22"/>
          <w:szCs w:val="22"/>
          <w:b w:val="1"/>
          <w:bCs w:val="1"/>
          <w:vertAlign w:val="superscript"/>
        </w:rPr>
        <w:t xml:space="preserve">14  </w:t>
      </w:r>
      <w:r>
        <w:rPr/>
        <w:t xml:space="preserve">But I have a little against you, because you have some there who hold the doctrine of Balaam, who taught Balac to cast a stumbling block before the sons of Israel, to eat things sacrificed unto </w:t>
      </w:r>
      <w:r>
        <w:rPr>
          <w:b w:val="1"/>
          <w:bCs w:val="1"/>
        </w:rPr>
        <w:t xml:space="preserve">idols</w:t>
      </w:r>
      <w:r>
        <w:rPr/>
        <w:t xml:space="preserve"> </w:t>
      </w:r>
      <w:r>
        <w:rPr>
          <w:rStyle w:val="FootnoteReference"/>
        </w:rPr>
        <w:footnoteReference w:id="81"/>
      </w:r>
      <w:r>
        <w:rPr/>
        <w:t xml:space="preserve">, and to commit </w:t>
      </w:r>
      <w:r>
        <w:rPr>
          <w:b w:val="1"/>
          <w:bCs w:val="1"/>
        </w:rPr>
        <w:t xml:space="preserve">fornication</w:t>
      </w:r>
      <w:r>
        <w:rPr/>
        <w:t xml:space="preserve"> </w:t>
      </w:r>
      <w:r>
        <w:rPr>
          <w:rStyle w:val="FootnoteReference"/>
        </w:rPr>
        <w:footnoteReference w:id="82"/>
      </w:r>
      <w:r>
        <w:rPr/>
        <w:t xml:space="preserve">.</w:t>
      </w:r>
    </w:p>
    <w:p>
      <w:pPr>
        <w:pStyle w:val="BodyVerse"/>
      </w:pPr>
      <w:r>
        <w:rPr>
          <w:b w:val="1"/>
          <w:bCs w:val="1"/>
        </w:rPr>
        <w:t xml:space="preserve">[[@Bible:Re 2:15]] </w:t>
      </w:r>
      <w:r>
        <w:rPr>
          <w:sz w:val="22"/>
          <w:szCs w:val="22"/>
          <w:b w:val="1"/>
          <w:bCs w:val="1"/>
          <w:vertAlign w:val="superscript"/>
        </w:rPr>
        <w:t xml:space="preserve">15  </w:t>
      </w:r>
      <w:r>
        <w:rPr/>
        <w:t xml:space="preserve">So also you have some who hold the doctrine of the </w:t>
      </w:r>
      <w:r>
        <w:rPr>
          <w:b w:val="1"/>
          <w:bCs w:val="1"/>
        </w:rPr>
        <w:t xml:space="preserve">Nicolaitans, likewise</w:t>
      </w:r>
      <w:r>
        <w:rPr/>
        <w:t xml:space="preserve"> </w:t>
      </w:r>
      <w:r>
        <w:rPr>
          <w:rStyle w:val="FootnoteReference"/>
        </w:rPr>
        <w:footnoteReference w:id="83"/>
      </w:r>
      <w:r>
        <w:rPr/>
        <w:t xml:space="preserve">.</w:t>
      </w:r>
    </w:p>
    <w:p>
      <w:pPr>
        <w:pStyle w:val="BodyVerse"/>
      </w:pPr>
      <w:r>
        <w:rPr>
          <w:b w:val="1"/>
          <w:bCs w:val="1"/>
        </w:rPr>
        <w:t xml:space="preserve">[[@Bible:Re 2:16]] </w:t>
      </w:r>
      <w:r>
        <w:rPr>
          <w:sz w:val="22"/>
          <w:szCs w:val="22"/>
          <w:b w:val="1"/>
          <w:bCs w:val="1"/>
          <w:vertAlign w:val="superscript"/>
        </w:rPr>
        <w:t xml:space="preserve">16  </w:t>
      </w:r>
      <w:r>
        <w:rPr>
          <w:b w:val="1"/>
          <w:bCs w:val="1"/>
        </w:rPr>
        <w:t xml:space="preserve">Repent</w:t>
      </w:r>
      <w:r>
        <w:rPr/>
        <w:t xml:space="preserve"> </w:t>
      </w:r>
      <w:r>
        <w:rPr>
          <w:rStyle w:val="FootnoteReference"/>
        </w:rPr>
        <w:footnoteReference w:id="84"/>
      </w:r>
      <w:r>
        <w:rPr/>
        <w:t xml:space="preserve">; or else I will come unto you </w:t>
      </w:r>
      <w:r>
        <w:rPr>
          <w:b w:val="1"/>
          <w:bCs w:val="1"/>
        </w:rPr>
        <w:t xml:space="preserve">quickly</w:t>
      </w:r>
      <w:r>
        <w:rPr/>
        <w:t xml:space="preserve"> </w:t>
      </w:r>
      <w:r>
        <w:rPr>
          <w:rStyle w:val="FootnoteReference"/>
        </w:rPr>
        <w:footnoteReference w:id="85"/>
      </w:r>
      <w:r>
        <w:rPr/>
        <w:t xml:space="preserve"> and will war against them with the </w:t>
      </w:r>
      <w:r>
        <w:rPr>
          <w:b w:val="1"/>
          <w:bCs w:val="1"/>
        </w:rPr>
        <w:t xml:space="preserve">sword of my mouth</w:t>
      </w:r>
      <w:r>
        <w:rPr/>
        <w:t xml:space="preserve"> </w:t>
      </w:r>
      <w:r>
        <w:rPr>
          <w:rStyle w:val="FootnoteReference"/>
        </w:rPr>
        <w:footnoteReference w:id="86"/>
      </w:r>
      <w:r>
        <w:rPr/>
        <w:t xml:space="preserve">.</w:t>
      </w:r>
    </w:p>
    <w:p>
      <w:pPr>
        <w:pStyle w:val="BodyVerse"/>
      </w:pPr>
      <w:r>
        <w:rPr>
          <w:b w:val="1"/>
          <w:bCs w:val="1"/>
        </w:rPr>
        <w:t xml:space="preserve">[[@Bible:Re 2:17]] </w:t>
      </w:r>
      <w:r>
        <w:rPr>
          <w:sz w:val="22"/>
          <w:szCs w:val="22"/>
          <w:b w:val="1"/>
          <w:bCs w:val="1"/>
          <w:vertAlign w:val="superscript"/>
        </w:rPr>
        <w:t xml:space="preserve">17  </w:t>
      </w:r>
      <w:r>
        <w:rPr/>
        <w:t xml:space="preserve">He who has an ear, let him </w:t>
      </w:r>
      <w:r>
        <w:rPr>
          <w:b w:val="1"/>
          <w:bCs w:val="1"/>
        </w:rPr>
        <w:t xml:space="preserve">hear</w:t>
      </w:r>
      <w:r>
        <w:rPr/>
        <w:t xml:space="preserve"> </w:t>
      </w:r>
      <w:r>
        <w:rPr>
          <w:rStyle w:val="FootnoteReference"/>
        </w:rPr>
        <w:footnoteReference w:id="87"/>
      </w:r>
      <w:r>
        <w:rPr/>
        <w:t xml:space="preserve"> what </w:t>
      </w:r>
      <w:r>
        <w:rPr>
          <w:b w:val="1"/>
          <w:bCs w:val="1"/>
        </w:rPr>
        <w:t xml:space="preserve">the Spirit says</w:t>
      </w:r>
      <w:r>
        <w:rPr/>
        <w:t xml:space="preserve"> </w:t>
      </w:r>
      <w:r>
        <w:rPr>
          <w:rStyle w:val="FootnoteReference"/>
        </w:rPr>
        <w:footnoteReference w:id="88"/>
      </w:r>
      <w:r>
        <w:rPr/>
        <w:t xml:space="preserve"> unto the churches; To him who </w:t>
      </w:r>
      <w:r>
        <w:rPr>
          <w:b w:val="1"/>
          <w:bCs w:val="1"/>
        </w:rPr>
        <w:t xml:space="preserve">overcomes</w:t>
      </w:r>
      <w:r>
        <w:rPr/>
        <w:t xml:space="preserve"> </w:t>
      </w:r>
      <w:r>
        <w:rPr>
          <w:rStyle w:val="FootnoteReference"/>
        </w:rPr>
        <w:footnoteReference w:id="89"/>
      </w:r>
      <w:r>
        <w:rPr/>
        <w:t xml:space="preserve"> will I give </w:t>
      </w:r>
      <w:r>
        <w:rPr/>
        <w:t xml:space="preserve"> of the hidden manna, and will give him a white stone, and in the stone a </w:t>
      </w:r>
      <w:r>
        <w:rPr>
          <w:b w:val="1"/>
          <w:bCs w:val="1"/>
        </w:rPr>
        <w:t xml:space="preserve">new name written</w:t>
      </w:r>
      <w:r>
        <w:rPr/>
        <w:t xml:space="preserve"> </w:t>
      </w:r>
      <w:r>
        <w:rPr>
          <w:rStyle w:val="FootnoteReference"/>
        </w:rPr>
        <w:footnoteReference w:id="90"/>
      </w:r>
      <w:r>
        <w:rPr/>
        <w:t xml:space="preserve">, which none knows saving he who receives it.</w:t>
      </w:r>
    </w:p>
    <w:p>
      <w:pPr>
        <w:spacing w:after="150"/>
      </w:pPr>
      <w:r>
        <w:rPr/>
        <w:t xml:space="preserve"/>
      </w:r>
    </w:p>
    <w:p>
      <w:pPr>
        <w:pStyle w:val="Heading3"/>
      </w:pPr>
      <w:bookmarkStart w:id="12" w:name="_Toc12"/>
      <w:r>
        <w:t>#4 Fornication - Message to Thyatira: Jezebel</w:t>
      </w:r>
      <w:bookmarkEnd w:id="12"/>
    </w:p>
    <w:p>
      <w:pPr>
        <w:pStyle w:val="SectionBody"/>
      </w:pPr>
      <w:r>
        <w:rPr>
          <w:b w:val="1"/>
          <w:bCs w:val="1"/>
        </w:rPr>
        <w:t xml:space="preserve">Important Note:</w:t>
      </w:r>
      <w:r>
        <w:rPr/>
        <w:t xml:space="preserve"> A mirror of Pergamum, false teachers, idols, and fornication.</w:t>
      </w:r>
    </w:p>
    <w:p>
      <w:pPr>
        <w:spacing w:after="150"/>
      </w:pPr>
      <w:r>
        <w:rPr/>
        <w:t xml:space="preserve"/>
      </w:r>
    </w:p>
    <w:p>
      <w:pPr>
        <w:pStyle w:val="BodyVerse"/>
      </w:pPr>
      <w:r>
        <w:rPr>
          <w:b w:val="1"/>
          <w:bCs w:val="1"/>
        </w:rPr>
        <w:t xml:space="preserve">[[@Bible:Re 2:18]] </w:t>
      </w:r>
      <w:r>
        <w:rPr>
          <w:sz w:val="22"/>
          <w:szCs w:val="22"/>
          <w:b w:val="1"/>
          <w:bCs w:val="1"/>
          <w:vertAlign w:val="superscript"/>
        </w:rPr>
        <w:t xml:space="preserve">18  </w:t>
      </w:r>
      <w:r>
        <w:rPr/>
        <w:t xml:space="preserve">And unto the messenger of the church in Thyatira </w:t>
      </w:r>
      <w:r>
        <w:rPr>
          <w:b w:val="1"/>
          <w:bCs w:val="1"/>
        </w:rPr>
        <w:t xml:space="preserve">write</w:t>
      </w:r>
      <w:r>
        <w:rPr/>
        <w:t xml:space="preserve"> </w:t>
      </w:r>
      <w:r>
        <w:rPr>
          <w:rStyle w:val="FootnoteReference"/>
        </w:rPr>
        <w:footnoteReference w:id="91"/>
      </w:r>
      <w:r>
        <w:rPr/>
        <w:t xml:space="preserve">; These things says the Son of God, who has his eyes like unto a </w:t>
      </w:r>
      <w:r>
        <w:rPr>
          <w:b w:val="1"/>
          <w:bCs w:val="1"/>
        </w:rPr>
        <w:t xml:space="preserve">flame of fire</w:t>
      </w:r>
      <w:r>
        <w:rPr/>
        <w:t xml:space="preserve"> </w:t>
      </w:r>
      <w:r>
        <w:rPr>
          <w:rStyle w:val="FootnoteReference"/>
        </w:rPr>
        <w:footnoteReference w:id="92"/>
      </w:r>
      <w:r>
        <w:rPr/>
        <w:t xml:space="preserve">, and whose feet are like </w:t>
      </w:r>
      <w:r>
        <w:rPr>
          <w:b w:val="1"/>
          <w:bCs w:val="1"/>
        </w:rPr>
        <w:t xml:space="preserve">fine brass</w:t>
      </w:r>
      <w:r>
        <w:rPr/>
        <w:t xml:space="preserve"> </w:t>
      </w:r>
      <w:r>
        <w:rPr>
          <w:rStyle w:val="FootnoteReference"/>
        </w:rPr>
        <w:footnoteReference w:id="93"/>
      </w:r>
      <w:r>
        <w:rPr/>
        <w:t xml:space="preserve">;</w:t>
      </w:r>
    </w:p>
    <w:p>
      <w:pPr>
        <w:pStyle w:val="BodyVerse"/>
      </w:pPr>
      <w:r>
        <w:rPr>
          <w:b w:val="1"/>
          <w:bCs w:val="1"/>
        </w:rPr>
        <w:t xml:space="preserve">[[@Bible:Re 2:19]] </w:t>
      </w:r>
      <w:r>
        <w:rPr>
          <w:sz w:val="22"/>
          <w:szCs w:val="22"/>
          <w:b w:val="1"/>
          <w:bCs w:val="1"/>
          <w:vertAlign w:val="superscript"/>
        </w:rPr>
        <w:t xml:space="preserve">19  </w:t>
      </w:r>
      <w:r>
        <w:rPr/>
        <w:t xml:space="preserve">I know thy </w:t>
      </w:r>
      <w:r>
        <w:rPr>
          <w:b w:val="1"/>
          <w:bCs w:val="1"/>
        </w:rPr>
        <w:t xml:space="preserve">works</w:t>
      </w:r>
      <w:r>
        <w:rPr/>
        <w:t xml:space="preserve"> </w:t>
      </w:r>
      <w:r>
        <w:rPr>
          <w:rStyle w:val="FootnoteReference"/>
        </w:rPr>
        <w:footnoteReference w:id="94"/>
      </w:r>
      <w:r>
        <w:rPr/>
        <w:t xml:space="preserve"> </w:t>
      </w:r>
      <w:r>
        <w:rPr>
          <w:rStyle w:val="FootnoteReference"/>
        </w:rPr>
        <w:footnoteReference w:id="95"/>
      </w:r>
      <w:r>
        <w:rPr/>
        <w:t xml:space="preserve">, and love, and faith, and service, and thy patience, and </w:t>
      </w:r>
      <w:r>
        <w:rPr>
          <w:b w:val="1"/>
          <w:bCs w:val="1"/>
        </w:rPr>
        <w:t xml:space="preserve">thy works</w:t>
      </w:r>
      <w:r>
        <w:rPr/>
        <w:t xml:space="preserve"> </w:t>
      </w:r>
      <w:r>
        <w:rPr>
          <w:rStyle w:val="FootnoteReference"/>
        </w:rPr>
        <w:footnoteReference w:id="96"/>
      </w:r>
      <w:r>
        <w:rPr/>
        <w:t xml:space="preserve">; and the last to be more than the first.</w:t>
      </w:r>
    </w:p>
    <w:p>
      <w:pPr>
        <w:pStyle w:val="BodyVerse"/>
      </w:pPr>
      <w:r>
        <w:rPr>
          <w:b w:val="1"/>
          <w:bCs w:val="1"/>
        </w:rPr>
        <w:t xml:space="preserve">[[@Bible:Re 2:20]] </w:t>
      </w:r>
      <w:r>
        <w:rPr>
          <w:sz w:val="22"/>
          <w:szCs w:val="22"/>
          <w:b w:val="1"/>
          <w:bCs w:val="1"/>
          <w:vertAlign w:val="superscript"/>
        </w:rPr>
        <w:t xml:space="preserve">20  </w:t>
      </w:r>
      <w:r>
        <w:rPr/>
        <w:t xml:space="preserve">Notwithstanding, I have a few things against you, because you suffer that woman Jezebel, who calls herself a prophetess, to teach and to seduce my servants to commit </w:t>
      </w:r>
      <w:r>
        <w:rPr>
          <w:b w:val="1"/>
          <w:bCs w:val="1"/>
        </w:rPr>
        <w:t xml:space="preserve">fornication</w:t>
      </w:r>
      <w:r>
        <w:rPr/>
        <w:t xml:space="preserve"> </w:t>
      </w:r>
      <w:r>
        <w:rPr>
          <w:rStyle w:val="FootnoteReference"/>
        </w:rPr>
        <w:footnoteReference w:id="97"/>
      </w:r>
      <w:r>
        <w:rPr/>
        <w:t xml:space="preserve">, and to eat things sacrificed unto </w:t>
      </w:r>
      <w:r>
        <w:rPr>
          <w:b w:val="1"/>
          <w:bCs w:val="1"/>
        </w:rPr>
        <w:t xml:space="preserve">idols</w:t>
      </w:r>
      <w:r>
        <w:rPr/>
        <w:t xml:space="preserve"> </w:t>
      </w:r>
      <w:r>
        <w:rPr>
          <w:rStyle w:val="FootnoteReference"/>
        </w:rPr>
        <w:footnoteReference w:id="98"/>
      </w:r>
      <w:r>
        <w:rPr/>
        <w:t xml:space="preserve">.</w:t>
      </w:r>
    </w:p>
    <w:p>
      <w:pPr>
        <w:pStyle w:val="BodyVerse"/>
      </w:pPr>
      <w:r>
        <w:rPr>
          <w:b w:val="1"/>
          <w:bCs w:val="1"/>
        </w:rPr>
        <w:t xml:space="preserve">[[@Bible:Re 2:21]] </w:t>
      </w:r>
      <w:r>
        <w:rPr>
          <w:sz w:val="22"/>
          <w:szCs w:val="22"/>
          <w:b w:val="1"/>
          <w:bCs w:val="1"/>
          <w:vertAlign w:val="superscript"/>
        </w:rPr>
        <w:t xml:space="preserve">21  </w:t>
      </w:r>
      <w:r>
        <w:rPr/>
        <w:t xml:space="preserve">And I gave her time to repent, but she would not repent of her fornication.</w:t>
      </w:r>
    </w:p>
    <w:p>
      <w:pPr>
        <w:pStyle w:val="BodyVerse"/>
      </w:pPr>
      <w:r>
        <w:rPr>
          <w:b w:val="1"/>
          <w:bCs w:val="1"/>
        </w:rPr>
        <w:t xml:space="preserve">[[@Bible:Re 2:22]] </w:t>
      </w:r>
      <w:r>
        <w:rPr>
          <w:sz w:val="22"/>
          <w:szCs w:val="22"/>
          <w:b w:val="1"/>
          <w:bCs w:val="1"/>
          <w:vertAlign w:val="superscript"/>
        </w:rPr>
        <w:t xml:space="preserve">22  </w:t>
      </w:r>
      <w:r>
        <w:rPr/>
        <w:t xml:space="preserve">Behold, I will cast her into a bed, and those who commit adultery with her into great tribulation, except they </w:t>
      </w:r>
      <w:r>
        <w:rPr>
          <w:b w:val="1"/>
          <w:bCs w:val="1"/>
        </w:rPr>
        <w:t xml:space="preserve">repent of their deeds</w:t>
      </w:r>
      <w:r>
        <w:rPr/>
        <w:t xml:space="preserve"> </w:t>
      </w:r>
      <w:r>
        <w:rPr>
          <w:rStyle w:val="FootnoteReference"/>
        </w:rPr>
        <w:footnoteReference w:id="99"/>
      </w:r>
      <w:r>
        <w:rPr/>
        <w:t xml:space="preserve">.</w:t>
      </w:r>
    </w:p>
    <w:p>
      <w:pPr>
        <w:pStyle w:val="BodyVerse"/>
      </w:pPr>
      <w:r>
        <w:rPr>
          <w:b w:val="1"/>
          <w:bCs w:val="1"/>
        </w:rPr>
        <w:t xml:space="preserve">[[@Bible:Re 2:23]] </w:t>
      </w:r>
      <w:r>
        <w:rPr>
          <w:sz w:val="22"/>
          <w:szCs w:val="22"/>
          <w:b w:val="1"/>
          <w:bCs w:val="1"/>
          <w:vertAlign w:val="superscript"/>
        </w:rPr>
        <w:t xml:space="preserve">23  </w:t>
      </w:r>
      <w:r>
        <w:rPr/>
        <w:t xml:space="preserve">And I will kill her children with death; and all the churches shall know that I am he who searches the innermost parts and hearts: and I will give unto every one of you according to your works.</w:t>
      </w:r>
    </w:p>
    <w:p>
      <w:pPr>
        <w:jc w:val="left"/>
        <w:ind w:left="360" w:right="0" w:firstLine="0" w:hanging="0"/>
        <w:spacing w:after="60"/>
      </w:pPr>
      <w:r>
        <w:rPr>
          <w:sz w:val="18"/>
          <w:szCs w:val="18"/>
          <w:i w:val="1"/>
          <w:iCs w:val="1"/>
        </w:rPr>
        <w:t xml:space="preserve">[fn] Both νεφρούς (kidneys) and καρδίας (hearts) are plural in Greek, reflecting an idiom for the totality of the inner life (“inner parts and hearts”), which English translations often render in the singular for smoothness.</w:t>
      </w:r>
    </w:p>
    <w:p>
      <w:pPr>
        <w:pStyle w:val="BodyVerse"/>
      </w:pPr>
      <w:r>
        <w:rPr>
          <w:b w:val="1"/>
          <w:bCs w:val="1"/>
        </w:rPr>
        <w:t xml:space="preserve">[[@Bible:Re 2:24]] </w:t>
      </w:r>
      <w:r>
        <w:rPr>
          <w:sz w:val="22"/>
          <w:szCs w:val="22"/>
          <w:b w:val="1"/>
          <w:bCs w:val="1"/>
          <w:vertAlign w:val="superscript"/>
        </w:rPr>
        <w:t xml:space="preserve">24  </w:t>
      </w:r>
      <w:r>
        <w:rPr/>
        <w:t xml:space="preserve">But unto the rest of you in Thyatira, as many as have not this doctrine, and who have not known the depths of Satan, to you I say, I will put upon you no other burden.</w:t>
      </w:r>
    </w:p>
    <w:p>
      <w:pPr>
        <w:pStyle w:val="BodyVerse"/>
      </w:pPr>
      <w:r>
        <w:rPr>
          <w:b w:val="1"/>
          <w:bCs w:val="1"/>
        </w:rPr>
        <w:t xml:space="preserve">[[@Bible:Re 2:25]] </w:t>
      </w:r>
      <w:r>
        <w:rPr>
          <w:sz w:val="22"/>
          <w:szCs w:val="22"/>
          <w:b w:val="1"/>
          <w:bCs w:val="1"/>
          <w:vertAlign w:val="superscript"/>
        </w:rPr>
        <w:t xml:space="preserve">25  </w:t>
      </w:r>
      <w:r>
        <w:rPr/>
        <w:t xml:space="preserve">But that which you all have </w:t>
      </w:r>
      <w:r>
        <w:rPr>
          <w:b w:val="1"/>
          <w:bCs w:val="1"/>
        </w:rPr>
        <w:t xml:space="preserve">hold fast</w:t>
      </w:r>
      <w:r>
        <w:rPr/>
        <w:t xml:space="preserve"> </w:t>
      </w:r>
      <w:r>
        <w:rPr>
          <w:rStyle w:val="FootnoteReference"/>
        </w:rPr>
        <w:footnoteReference w:id="100"/>
      </w:r>
      <w:r>
        <w:rPr/>
        <w:t xml:space="preserve"> till I come.</w:t>
      </w:r>
    </w:p>
    <w:p>
      <w:pPr>
        <w:pStyle w:val="BodyVerse"/>
      </w:pPr>
      <w:r>
        <w:rPr>
          <w:b w:val="1"/>
          <w:bCs w:val="1"/>
        </w:rPr>
        <w:t xml:space="preserve">[[@Bible:Re 2:26]] </w:t>
      </w:r>
      <w:r>
        <w:rPr>
          <w:sz w:val="22"/>
          <w:szCs w:val="22"/>
          <w:b w:val="1"/>
          <w:bCs w:val="1"/>
          <w:vertAlign w:val="superscript"/>
        </w:rPr>
        <w:t xml:space="preserve">26  </w:t>
      </w:r>
      <w:r>
        <w:rPr/>
        <w:t xml:space="preserve">And he who </w:t>
      </w:r>
      <w:r>
        <w:rPr>
          <w:b w:val="1"/>
          <w:bCs w:val="1"/>
        </w:rPr>
        <w:t xml:space="preserve">overcomes</w:t>
      </w:r>
      <w:r>
        <w:rPr/>
        <w:t xml:space="preserve"> </w:t>
      </w:r>
      <w:r>
        <w:rPr>
          <w:rStyle w:val="FootnoteReference"/>
        </w:rPr>
        <w:footnoteReference w:id="101"/>
      </w:r>
      <w:r>
        <w:rPr/>
        <w:t xml:space="preserve">, and keeps my works unto the end, to him will I give power over the nations:</w:t>
      </w:r>
    </w:p>
    <w:p>
      <w:pPr>
        <w:pStyle w:val="BodyVerse"/>
      </w:pPr>
      <w:r>
        <w:rPr>
          <w:b w:val="1"/>
          <w:bCs w:val="1"/>
        </w:rPr>
        <w:t xml:space="preserve">[[@Bible:Re 2:27]] </w:t>
      </w:r>
      <w:r>
        <w:rPr>
          <w:sz w:val="22"/>
          <w:szCs w:val="22"/>
          <w:b w:val="1"/>
          <w:bCs w:val="1"/>
          <w:vertAlign w:val="superscript"/>
        </w:rPr>
        <w:t xml:space="preserve">27  </w:t>
      </w:r>
      <w:r>
        <w:rPr/>
        <w:t xml:space="preserve">And he shall rule them with a </w:t>
      </w:r>
      <w:r>
        <w:rPr>
          <w:b w:val="1"/>
          <w:bCs w:val="1"/>
        </w:rPr>
        <w:t xml:space="preserve">rod of iron</w:t>
      </w:r>
      <w:r>
        <w:rPr/>
        <w:t xml:space="preserve"> </w:t>
      </w:r>
      <w:r>
        <w:rPr>
          <w:rStyle w:val="FootnoteReference"/>
        </w:rPr>
        <w:footnoteReference w:id="102"/>
      </w:r>
      <w:r>
        <w:rPr/>
        <w:t xml:space="preserve">; as the vessels of a potter shall they be broken to shivers: even as I received of my Father.</w:t>
      </w:r>
    </w:p>
    <w:p>
      <w:pPr>
        <w:pStyle w:val="BodyVerse"/>
      </w:pPr>
      <w:r>
        <w:rPr>
          <w:b w:val="1"/>
          <w:bCs w:val="1"/>
        </w:rPr>
        <w:t xml:space="preserve">[[@Bible:Re 2:28]] </w:t>
      </w:r>
      <w:r>
        <w:rPr>
          <w:sz w:val="22"/>
          <w:szCs w:val="22"/>
          <w:b w:val="1"/>
          <w:bCs w:val="1"/>
          <w:vertAlign w:val="superscript"/>
        </w:rPr>
        <w:t xml:space="preserve">28  </w:t>
      </w:r>
      <w:r>
        <w:rPr/>
        <w:t xml:space="preserve">And I will give him the </w:t>
      </w:r>
      <w:r>
        <w:rPr>
          <w:b w:val="1"/>
          <w:bCs w:val="1"/>
        </w:rPr>
        <w:t xml:space="preserve">morning star</w:t>
      </w:r>
      <w:r>
        <w:rPr/>
        <w:t xml:space="preserve"> </w:t>
      </w:r>
      <w:r>
        <w:rPr>
          <w:rStyle w:val="FootnoteReference"/>
        </w:rPr>
        <w:footnoteReference w:id="103"/>
      </w:r>
      <w:r>
        <w:rPr/>
        <w:t xml:space="preserve">.</w:t>
      </w:r>
    </w:p>
    <w:p>
      <w:pPr>
        <w:pStyle w:val="BodyVerse"/>
      </w:pPr>
      <w:r>
        <w:rPr>
          <w:b w:val="1"/>
          <w:bCs w:val="1"/>
        </w:rPr>
        <w:t xml:space="preserve">[[@Bible:Re 2:29]] </w:t>
      </w:r>
      <w:r>
        <w:rPr>
          <w:sz w:val="22"/>
          <w:szCs w:val="22"/>
          <w:b w:val="1"/>
          <w:bCs w:val="1"/>
          <w:vertAlign w:val="superscript"/>
        </w:rPr>
        <w:t xml:space="preserve">29  </w:t>
      </w:r>
      <w:r>
        <w:rPr/>
        <w:t xml:space="preserve">He who has an ear, let him </w:t>
      </w:r>
      <w:r>
        <w:rPr>
          <w:b w:val="1"/>
          <w:bCs w:val="1"/>
        </w:rPr>
        <w:t xml:space="preserve">hear</w:t>
      </w:r>
      <w:r>
        <w:rPr/>
        <w:t xml:space="preserve"> </w:t>
      </w:r>
      <w:r>
        <w:rPr>
          <w:rStyle w:val="FootnoteReference"/>
        </w:rPr>
        <w:footnoteReference w:id="104"/>
      </w:r>
      <w:r>
        <w:rPr/>
        <w:t xml:space="preserve"> what </w:t>
      </w:r>
      <w:r>
        <w:rPr>
          <w:b w:val="1"/>
          <w:bCs w:val="1"/>
        </w:rPr>
        <w:t xml:space="preserve">the Spirit says</w:t>
      </w:r>
      <w:r>
        <w:rPr/>
        <w:t xml:space="preserve"> </w:t>
      </w:r>
      <w:r>
        <w:rPr>
          <w:rStyle w:val="FootnoteReference"/>
        </w:rPr>
        <w:footnoteReference w:id="105"/>
      </w:r>
      <w:r>
        <w:rPr/>
        <w:t xml:space="preserve"> unto the churches.</w:t>
      </w:r>
    </w:p>
    <w:p>
      <w:pPr>
        <w:spacing w:after="150"/>
      </w:pPr>
      <w:r>
        <w:rPr/>
        <w:t xml:space="preserve"/>
      </w:r>
    </w:p>
    <w:p>
      <w:pPr>
        <w:pStyle w:val="Heading3"/>
      </w:pPr>
      <w:bookmarkStart w:id="13" w:name="_Toc13"/>
      <w:r>
        <w:t>#5 Dead - Message to Sardis: I Come as a Thief</w:t>
      </w:r>
      <w:bookmarkEnd w:id="13"/>
    </w:p>
    <w:p>
      <w:pPr>
        <w:pStyle w:val="SectionBody"/>
      </w:pPr>
      <w:r>
        <w:rPr>
          <w:b w:val="1"/>
          <w:bCs w:val="1"/>
        </w:rPr>
        <w:t xml:space="preserve">Important Note:</w:t>
      </w:r>
      <w:r>
        <w:rPr/>
        <w:t xml:space="preserve"> This church is given a chance to change and walk in white so that Jesus will not come to them as a thief.</w:t>
      </w:r>
    </w:p>
    <w:p>
      <w:pPr>
        <w:spacing w:after="150"/>
      </w:pPr>
      <w:r>
        <w:rPr/>
        <w:t xml:space="preserve"/>
      </w:r>
    </w:p>
    <w:p>
      <w:pPr>
        <w:pStyle w:val="BodyVerse"/>
      </w:pPr>
      <w:r>
        <w:rPr>
          <w:b w:val="1"/>
          <w:bCs w:val="1"/>
        </w:rPr>
        <w:t xml:space="preserve">[[@Bible:Re 3:1]] </w:t>
      </w:r>
      <w:r>
        <w:rPr>
          <w:sz w:val="22"/>
          <w:szCs w:val="22"/>
          <w:b w:val="1"/>
          <w:bCs w:val="1"/>
          <w:vertAlign w:val="superscript"/>
        </w:rPr>
        <w:t xml:space="preserve">1  </w:t>
      </w:r>
      <w:r>
        <w:rPr/>
        <w:t xml:space="preserve">And unto the messenger of the church in Sardis </w:t>
      </w:r>
      <w:r>
        <w:rPr>
          <w:b w:val="1"/>
          <w:bCs w:val="1"/>
        </w:rPr>
        <w:t xml:space="preserve">write</w:t>
      </w:r>
      <w:r>
        <w:rPr/>
        <w:t xml:space="preserve"> </w:t>
      </w:r>
      <w:r>
        <w:rPr>
          <w:rStyle w:val="FootnoteReference"/>
        </w:rPr>
        <w:footnoteReference w:id="106"/>
      </w:r>
      <w:r>
        <w:rPr/>
        <w:t xml:space="preserve">; These things says he who has the </w:t>
      </w:r>
      <w:r>
        <w:rPr>
          <w:b w:val="1"/>
          <w:bCs w:val="1"/>
        </w:rPr>
        <w:t xml:space="preserve">seven Spirits of God</w:t>
      </w:r>
      <w:r>
        <w:rPr/>
        <w:t xml:space="preserve"> </w:t>
      </w:r>
      <w:r>
        <w:rPr>
          <w:rStyle w:val="FootnoteReference"/>
        </w:rPr>
        <w:footnoteReference w:id="107"/>
      </w:r>
      <w:r>
        <w:rPr/>
        <w:t xml:space="preserve">, and the </w:t>
      </w:r>
      <w:r>
        <w:rPr>
          <w:b w:val="1"/>
          <w:bCs w:val="1"/>
        </w:rPr>
        <w:t xml:space="preserve">seven stars</w:t>
      </w:r>
      <w:r>
        <w:rPr/>
        <w:t xml:space="preserve"> </w:t>
      </w:r>
      <w:r>
        <w:rPr>
          <w:rStyle w:val="FootnoteReference"/>
        </w:rPr>
        <w:footnoteReference w:id="108"/>
      </w:r>
      <w:r>
        <w:rPr/>
        <w:t xml:space="preserve">; I know thy </w:t>
      </w:r>
      <w:r>
        <w:rPr>
          <w:b w:val="1"/>
          <w:bCs w:val="1"/>
        </w:rPr>
        <w:t xml:space="preserve">works</w:t>
      </w:r>
      <w:r>
        <w:rPr/>
        <w:t xml:space="preserve"> </w:t>
      </w:r>
      <w:r>
        <w:rPr>
          <w:rStyle w:val="FootnoteReference"/>
        </w:rPr>
        <w:footnoteReference w:id="109"/>
      </w:r>
      <w:r>
        <w:rPr/>
        <w:t xml:space="preserve"> </w:t>
      </w:r>
      <w:r>
        <w:rPr>
          <w:rStyle w:val="FootnoteReference"/>
        </w:rPr>
        <w:footnoteReference w:id="110"/>
      </w:r>
      <w:r>
        <w:rPr/>
        <w:t xml:space="preserve">, that you have a name that you live, and are dead.</w:t>
      </w:r>
    </w:p>
    <w:p>
      <w:pPr>
        <w:pStyle w:val="BodyVerse"/>
      </w:pPr>
      <w:r>
        <w:rPr>
          <w:b w:val="1"/>
          <w:bCs w:val="1"/>
        </w:rPr>
        <w:t xml:space="preserve">[[@Bible:Re 3:2]] </w:t>
      </w:r>
      <w:r>
        <w:rPr>
          <w:sz w:val="22"/>
          <w:szCs w:val="22"/>
          <w:b w:val="1"/>
          <w:bCs w:val="1"/>
          <w:vertAlign w:val="superscript"/>
        </w:rPr>
        <w:t xml:space="preserve">2  </w:t>
      </w:r>
      <w:r>
        <w:rPr/>
        <w:t xml:space="preserve">Be watchful, and strengthen the things which remain, that are ready to die: for I have not found thy works complete before God.</w:t>
      </w:r>
    </w:p>
    <w:p>
      <w:pPr>
        <w:pStyle w:val="BodyVerse"/>
      </w:pPr>
      <w:r>
        <w:rPr>
          <w:b w:val="1"/>
          <w:bCs w:val="1"/>
        </w:rPr>
        <w:t xml:space="preserve">[[@Bible:Re 3:3]] </w:t>
      </w:r>
      <w:r>
        <w:rPr>
          <w:sz w:val="22"/>
          <w:szCs w:val="22"/>
          <w:b w:val="1"/>
          <w:bCs w:val="1"/>
          <w:vertAlign w:val="superscript"/>
        </w:rPr>
        <w:t xml:space="preserve">3  </w:t>
      </w:r>
      <w:r>
        <w:rPr/>
        <w:t xml:space="preserve">Remember therefore how you have received and heard, and </w:t>
      </w:r>
      <w:r>
        <w:rPr>
          <w:b w:val="1"/>
          <w:bCs w:val="1"/>
        </w:rPr>
        <w:t xml:space="preserve">hold fast</w:t>
      </w:r>
      <w:r>
        <w:rPr/>
        <w:t xml:space="preserve"> </w:t>
      </w:r>
      <w:r>
        <w:rPr>
          <w:rStyle w:val="FootnoteReference"/>
        </w:rPr>
        <w:footnoteReference w:id="111"/>
      </w:r>
      <w:r>
        <w:rPr/>
        <w:t xml:space="preserve">, and </w:t>
      </w:r>
      <w:r>
        <w:rPr>
          <w:b w:val="1"/>
          <w:bCs w:val="1"/>
        </w:rPr>
        <w:t xml:space="preserve">repent</w:t>
      </w:r>
      <w:r>
        <w:rPr/>
        <w:t xml:space="preserve"> </w:t>
      </w:r>
      <w:r>
        <w:rPr>
          <w:rStyle w:val="FootnoteReference"/>
        </w:rPr>
        <w:footnoteReference w:id="112"/>
      </w:r>
      <w:r>
        <w:rPr/>
        <w:t xml:space="preserve">. If, therefore, you will not watch, I will come like a </w:t>
      </w:r>
      <w:r>
        <w:rPr>
          <w:b w:val="1"/>
          <w:bCs w:val="1"/>
        </w:rPr>
        <w:t xml:space="preserve">thief</w:t>
      </w:r>
      <w:r>
        <w:rPr/>
        <w:t xml:space="preserve"> </w:t>
      </w:r>
      <w:r>
        <w:rPr>
          <w:rStyle w:val="FootnoteReference"/>
        </w:rPr>
        <w:footnoteReference w:id="113"/>
      </w:r>
      <w:r>
        <w:rPr/>
        <w:t xml:space="preserve">, and you will not know what hour I will come upon you.</w:t>
      </w:r>
    </w:p>
    <w:p>
      <w:pPr>
        <w:pStyle w:val="BodyVerse"/>
      </w:pPr>
      <w:r>
        <w:rPr>
          <w:b w:val="1"/>
          <w:bCs w:val="1"/>
        </w:rPr>
        <w:t xml:space="preserve">[[@Bible:Re 3:4]] </w:t>
      </w:r>
      <w:r>
        <w:rPr>
          <w:sz w:val="22"/>
          <w:szCs w:val="22"/>
          <w:b w:val="1"/>
          <w:bCs w:val="1"/>
          <w:vertAlign w:val="superscript"/>
        </w:rPr>
        <w:t xml:space="preserve">4  </w:t>
      </w:r>
      <w:r>
        <w:rPr/>
        <w:t xml:space="preserve">You have little names even in Sardis who have not defiled their garments; and they shall walk with me in </w:t>
      </w:r>
      <w:r>
        <w:rPr>
          <w:b w:val="1"/>
          <w:bCs w:val="1"/>
        </w:rPr>
        <w:t xml:space="preserve">white</w:t>
      </w:r>
      <w:r>
        <w:rPr/>
        <w:t xml:space="preserve"> </w:t>
      </w:r>
      <w:r>
        <w:rPr>
          <w:rStyle w:val="FootnoteReference"/>
        </w:rPr>
        <w:footnoteReference w:id="114"/>
      </w:r>
      <w:r>
        <w:rPr/>
        <w:t xml:space="preserve">: for they are worthy.</w:t>
      </w:r>
    </w:p>
    <w:p>
      <w:pPr>
        <w:jc w:val="left"/>
        <w:ind w:left="360" w:right="0" w:firstLine="0" w:hanging="0"/>
        <w:spacing w:after="60"/>
      </w:pPr>
      <w:r>
        <w:rPr>
          <w:sz w:val="18"/>
          <w:szCs w:val="18"/>
          <w:i w:val="1"/>
          <w:iCs w:val="1"/>
        </w:rPr>
        <w:t xml:space="preserve">[fn] "little" here is used vs "few" to closer reflect the Greek consistency for the word "ολιγος".</w:t>
      </w:r>
    </w:p>
    <w:p>
      <w:pPr>
        <w:pStyle w:val="BodyVerse"/>
      </w:pPr>
      <w:r>
        <w:rPr>
          <w:b w:val="1"/>
          <w:bCs w:val="1"/>
        </w:rPr>
        <w:t xml:space="preserve">[[@Bible:Re 3:5]] </w:t>
      </w:r>
      <w:r>
        <w:rPr>
          <w:sz w:val="22"/>
          <w:szCs w:val="22"/>
          <w:b w:val="1"/>
          <w:bCs w:val="1"/>
          <w:vertAlign w:val="superscript"/>
        </w:rPr>
        <w:t xml:space="preserve">5  </w:t>
      </w:r>
      <w:r>
        <w:rPr/>
        <w:t xml:space="preserve">He who </w:t>
      </w:r>
      <w:r>
        <w:rPr>
          <w:b w:val="1"/>
          <w:bCs w:val="1"/>
        </w:rPr>
        <w:t xml:space="preserve">overcomes</w:t>
      </w:r>
      <w:r>
        <w:rPr/>
        <w:t xml:space="preserve"> </w:t>
      </w:r>
      <w:r>
        <w:rPr>
          <w:rStyle w:val="FootnoteReference"/>
        </w:rPr>
        <w:footnoteReference w:id="115"/>
      </w:r>
      <w:r>
        <w:rPr/>
        <w:t xml:space="preserve">, the same shall be clothed in </w:t>
      </w:r>
      <w:r>
        <w:rPr>
          <w:b w:val="1"/>
          <w:bCs w:val="1"/>
        </w:rPr>
        <w:t xml:space="preserve">white raiment</w:t>
      </w:r>
      <w:r>
        <w:rPr/>
        <w:t xml:space="preserve"> </w:t>
      </w:r>
      <w:r>
        <w:rPr>
          <w:rStyle w:val="FootnoteReference"/>
        </w:rPr>
        <w:footnoteReference w:id="116"/>
      </w:r>
      <w:r>
        <w:rPr/>
        <w:t xml:space="preserve">; and I will not blot out his name out of the </w:t>
      </w:r>
      <w:r>
        <w:rPr>
          <w:b w:val="1"/>
          <w:bCs w:val="1"/>
        </w:rPr>
        <w:t xml:space="preserve">book of life</w:t>
      </w:r>
      <w:r>
        <w:rPr/>
        <w:t xml:space="preserve"> </w:t>
      </w:r>
      <w:r>
        <w:rPr>
          <w:rStyle w:val="FootnoteReference"/>
        </w:rPr>
        <w:footnoteReference w:id="117"/>
      </w:r>
      <w:r>
        <w:rPr/>
        <w:t xml:space="preserve">, but I will confess his name before my Father, and before his </w:t>
      </w:r>
      <w:r>
        <w:rPr>
          <w:b w:val="1"/>
          <w:bCs w:val="1"/>
        </w:rPr>
        <w:t xml:space="preserve">messengers</w:t>
      </w:r>
      <w:r>
        <w:rPr/>
        <w:t xml:space="preserve"> </w:t>
      </w:r>
      <w:r>
        <w:rPr>
          <w:rStyle w:val="FootnoteReference"/>
        </w:rPr>
        <w:footnoteReference w:id="118"/>
      </w:r>
      <w:r>
        <w:rPr/>
        <w:t xml:space="preserve">.</w:t>
      </w:r>
    </w:p>
    <w:p>
      <w:pPr>
        <w:pStyle w:val="BodyVerse"/>
      </w:pPr>
      <w:r>
        <w:rPr>
          <w:b w:val="1"/>
          <w:bCs w:val="1"/>
        </w:rPr>
        <w:t xml:space="preserve">[[@Bible:Re 3:6]] </w:t>
      </w:r>
      <w:r>
        <w:rPr>
          <w:sz w:val="22"/>
          <w:szCs w:val="22"/>
          <w:b w:val="1"/>
          <w:bCs w:val="1"/>
          <w:vertAlign w:val="superscript"/>
        </w:rPr>
        <w:t xml:space="preserve">6  </w:t>
      </w:r>
      <w:r>
        <w:rPr/>
        <w:t xml:space="preserve">He who has an ear, let him </w:t>
      </w:r>
      <w:r>
        <w:rPr>
          <w:b w:val="1"/>
          <w:bCs w:val="1"/>
        </w:rPr>
        <w:t xml:space="preserve">hear</w:t>
      </w:r>
      <w:r>
        <w:rPr/>
        <w:t xml:space="preserve"> </w:t>
      </w:r>
      <w:r>
        <w:rPr>
          <w:rStyle w:val="FootnoteReference"/>
        </w:rPr>
        <w:footnoteReference w:id="119"/>
      </w:r>
      <w:r>
        <w:rPr/>
        <w:t xml:space="preserve"> what </w:t>
      </w:r>
      <w:r>
        <w:rPr>
          <w:b w:val="1"/>
          <w:bCs w:val="1"/>
        </w:rPr>
        <w:t xml:space="preserve">the Spirit says</w:t>
      </w:r>
      <w:r>
        <w:rPr/>
        <w:t xml:space="preserve"> </w:t>
      </w:r>
      <w:r>
        <w:rPr>
          <w:rStyle w:val="FootnoteReference"/>
        </w:rPr>
        <w:footnoteReference w:id="120"/>
      </w:r>
      <w:r>
        <w:rPr/>
        <w:t xml:space="preserve"> unto the churches.</w:t>
      </w:r>
    </w:p>
    <w:p>
      <w:pPr>
        <w:spacing w:after="150"/>
      </w:pPr>
      <w:r>
        <w:rPr/>
        <w:t xml:space="preserve"/>
      </w:r>
    </w:p>
    <w:p>
      <w:pPr>
        <w:pStyle w:val="Heading3"/>
      </w:pPr>
      <w:bookmarkStart w:id="14" w:name="_Toc14"/>
      <w:r>
        <w:t>#6 Crown - Message to Philadelphia: Open Door</w:t>
      </w:r>
      <w:bookmarkEnd w:id="14"/>
    </w:p>
    <w:p>
      <w:pPr>
        <w:pStyle w:val="SectionBody"/>
      </w:pPr>
      <w:r>
        <w:rPr>
          <w:b w:val="1"/>
          <w:bCs w:val="1"/>
        </w:rPr>
        <w:t xml:space="preserve">Important Note:</w:t>
      </w:r>
      <w:r>
        <w:rPr/>
        <w:t xml:space="preserve"> This church is going to be given an "open door" and "I also will keep thee from the hour of temptation".</w:t>
      </w:r>
    </w:p>
    <w:p>
      <w:pPr>
        <w:pStyle w:val="SectionBody"/>
      </w:pPr>
      <w:r>
        <w:rPr>
          <w:b w:val="1"/>
          <w:bCs w:val="1"/>
        </w:rPr>
        <w:t xml:space="preserve">Important Note</w:t>
      </w:r>
      <w:r>
        <w:rPr/>
        <w:t xml:space="preserve">: Revelation 3:10 clearly identifies a distinct, global period—“the hour of trial” (τῆς ὥρας τοῦ πειρασμοῦ)—which is said to come upon “all the world.” The promise, therefore, is not merely about a general hardship, but about preservation in relation to a defined eschatological time.</w:t>
      </w:r>
    </w:p>
    <w:p>
      <w:pPr>
        <w:pStyle w:val="SectionBody"/>
      </w:pPr>
      <w:r>
        <w:rPr/>
        <w:t xml:space="preserve">The Greek reads, τηρήσω σε ἐκ τῆς ὥρας—“I will keep you from the hour.” The preposition ἐκ naturally carries the sense of “from” or “out of,” indicating separation from that hour. While this does not explicitly define the mechanism of preservation, it does point away from simple endurance within the period. If the intent were clearly to express preservation within the hour, more direct constructions such as ἐν (“in”) or διά (“through”) were available.</w:t>
      </w:r>
    </w:p>
    <w:p>
      <w:pPr>
        <w:pStyle w:val="SectionBody"/>
      </w:pPr>
      <w:r>
        <w:rPr/>
        <w:t xml:space="preserve">Thus, the grammar most plainly emphasizes separation in relation to a coming global hour, while leaving the precise manner of that deliverance unstated.</w:t>
      </w:r>
    </w:p>
    <w:p>
      <w:pPr>
        <w:pStyle w:val="SectionBody"/>
      </w:pPr>
      <w:r>
        <w:rPr/>
        <w:t xml:space="preserve">In Revelation’s own symbolic framework, the promise to Philadelphia—“I have set before thee an open door”. An open door seems to signify a heavenly opening. The only other “open door” θυρα occurs in Revelation 4:1, where John hears the heavenly summons Ἀνάβα ὧδε (“Come up here”) and is immediately taken into the throne room before the judgments begin. This upward-calling formula appears again with the two witnesses in Revelation 11:12 (Ἀνάβατε ὧδε), and both times it results in an instantaneous ascent into heaven. When this pattern is combined with the precise grammar of Revelation 3:10—Christ’s promise to keep them ἐκ τῆς ὥρας, “out of the hour” itself, not merely safe within it—a theme appears: the open door may be the means by which Philadelphia is removed prior to the coming global hour of trial. Revelation’s internal symbolism is consistent, and its language is deliberate: the open door is a heavenly upward summons, not an earthly opportunity.</w:t>
      </w:r>
    </w:p>
    <w:p>
      <w:pPr>
        <w:spacing w:after="150"/>
      </w:pPr>
      <w:r>
        <w:rPr/>
        <w:t xml:space="preserve"/>
      </w:r>
    </w:p>
    <w:p>
      <w:pPr>
        <w:pStyle w:val="BodyVerse"/>
      </w:pPr>
      <w:r>
        <w:rPr>
          <w:b w:val="1"/>
          <w:bCs w:val="1"/>
        </w:rPr>
        <w:t xml:space="preserve">[[@Bible:Re 3:7]] </w:t>
      </w:r>
      <w:r>
        <w:rPr>
          <w:sz w:val="22"/>
          <w:szCs w:val="22"/>
          <w:b w:val="1"/>
          <w:bCs w:val="1"/>
          <w:vertAlign w:val="superscript"/>
        </w:rPr>
        <w:t xml:space="preserve">7  </w:t>
      </w:r>
      <w:r>
        <w:rPr/>
        <w:t xml:space="preserve">And to the messenger of the church in Philadelphia </w:t>
      </w:r>
      <w:r>
        <w:rPr>
          <w:b w:val="1"/>
          <w:bCs w:val="1"/>
        </w:rPr>
        <w:t xml:space="preserve">write</w:t>
      </w:r>
      <w:r>
        <w:rPr/>
        <w:t xml:space="preserve"> </w:t>
      </w:r>
      <w:r>
        <w:rPr>
          <w:rStyle w:val="FootnoteReference"/>
        </w:rPr>
        <w:footnoteReference w:id="121"/>
      </w:r>
      <w:r>
        <w:rPr/>
        <w:t xml:space="preserve">; These things says he that is holy, he who is true, he who has the </w:t>
      </w:r>
      <w:r>
        <w:rPr>
          <w:b w:val="1"/>
          <w:bCs w:val="1"/>
        </w:rPr>
        <w:t xml:space="preserve">key</w:t>
      </w:r>
      <w:r>
        <w:rPr/>
        <w:t xml:space="preserve"> </w:t>
      </w:r>
      <w:r>
        <w:rPr>
          <w:rStyle w:val="FootnoteReference"/>
        </w:rPr>
        <w:footnoteReference w:id="122"/>
      </w:r>
      <w:r>
        <w:rPr/>
        <w:t xml:space="preserve"> of </w:t>
      </w:r>
      <w:r>
        <w:rPr>
          <w:b w:val="1"/>
          <w:bCs w:val="1"/>
        </w:rPr>
        <w:t xml:space="preserve">David</w:t>
      </w:r>
      <w:r>
        <w:rPr/>
        <w:t xml:space="preserve"> </w:t>
      </w:r>
      <w:r>
        <w:rPr>
          <w:rStyle w:val="FootnoteReference"/>
        </w:rPr>
        <w:footnoteReference w:id="123"/>
      </w:r>
      <w:r>
        <w:rPr/>
        <w:t xml:space="preserve">, he who opens, and none shuts; and shuts, and none opens;</w:t>
      </w:r>
    </w:p>
    <w:p>
      <w:pPr>
        <w:pStyle w:val="BodyVerse"/>
      </w:pPr>
      <w:r>
        <w:rPr>
          <w:b w:val="1"/>
          <w:bCs w:val="1"/>
        </w:rPr>
        <w:t xml:space="preserve">[[@Bible:Re 3:8]] </w:t>
      </w:r>
      <w:r>
        <w:rPr>
          <w:sz w:val="22"/>
          <w:szCs w:val="22"/>
          <w:b w:val="1"/>
          <w:bCs w:val="1"/>
          <w:vertAlign w:val="superscript"/>
        </w:rPr>
        <w:t xml:space="preserve">8  </w:t>
      </w:r>
      <w:r>
        <w:rPr/>
        <w:t xml:space="preserve">I know thy </w:t>
      </w:r>
      <w:r>
        <w:rPr>
          <w:b w:val="1"/>
          <w:bCs w:val="1"/>
        </w:rPr>
        <w:t xml:space="preserve">works</w:t>
      </w:r>
      <w:r>
        <w:rPr/>
        <w:t xml:space="preserve"> </w:t>
      </w:r>
      <w:r>
        <w:rPr>
          <w:rStyle w:val="FootnoteReference"/>
        </w:rPr>
        <w:footnoteReference w:id="124"/>
      </w:r>
      <w:r>
        <w:rPr/>
        <w:t xml:space="preserve"> </w:t>
      </w:r>
      <w:r>
        <w:rPr>
          <w:rStyle w:val="FootnoteReference"/>
        </w:rPr>
        <w:footnoteReference w:id="125"/>
      </w:r>
      <w:r>
        <w:rPr/>
        <w:t xml:space="preserve">: behold, I have set before you an </w:t>
      </w:r>
      <w:r>
        <w:rPr>
          <w:b w:val="1"/>
          <w:bCs w:val="1"/>
        </w:rPr>
        <w:t xml:space="preserve">open door</w:t>
      </w:r>
      <w:r>
        <w:rPr/>
        <w:t xml:space="preserve"> </w:t>
      </w:r>
      <w:r>
        <w:rPr>
          <w:rStyle w:val="FootnoteReference"/>
        </w:rPr>
        <w:footnoteReference w:id="126"/>
      </w:r>
      <w:r>
        <w:rPr/>
        <w:t xml:space="preserve">, and none can shut it: for you have small might, and have kept my word, and have not denied my </w:t>
      </w:r>
      <w:r>
        <w:rPr>
          <w:b w:val="1"/>
          <w:bCs w:val="1"/>
        </w:rPr>
        <w:t xml:space="preserve">name</w:t>
      </w:r>
      <w:r>
        <w:rPr/>
        <w:t xml:space="preserve"> </w:t>
      </w:r>
      <w:r>
        <w:rPr>
          <w:rStyle w:val="FootnoteReference"/>
        </w:rPr>
        <w:footnoteReference w:id="127"/>
      </w:r>
      <w:r>
        <w:rPr/>
        <w:t xml:space="preserve">.</w:t>
      </w:r>
    </w:p>
    <w:p>
      <w:pPr>
        <w:pStyle w:val="BodyVerse"/>
      </w:pPr>
      <w:r>
        <w:rPr>
          <w:b w:val="1"/>
          <w:bCs w:val="1"/>
        </w:rPr>
        <w:t xml:space="preserve">[[@Bible:Re 3:9]] </w:t>
      </w:r>
      <w:r>
        <w:rPr>
          <w:sz w:val="22"/>
          <w:szCs w:val="22"/>
          <w:b w:val="1"/>
          <w:bCs w:val="1"/>
          <w:vertAlign w:val="superscript"/>
        </w:rPr>
        <w:t xml:space="preserve">9  </w:t>
      </w:r>
      <w:r>
        <w:rPr/>
        <w:t xml:space="preserve">Behold, I will make them of the synagogue of Satan, who say they are Jews, and are not, but do </w:t>
      </w:r>
      <w:r>
        <w:rPr>
          <w:b w:val="1"/>
          <w:bCs w:val="1"/>
        </w:rPr>
        <w:t xml:space="preserve">lie</w:t>
      </w:r>
      <w:r>
        <w:rPr/>
        <w:t xml:space="preserve"> </w:t>
      </w:r>
      <w:r>
        <w:rPr>
          <w:rStyle w:val="FootnoteReference"/>
        </w:rPr>
        <w:footnoteReference w:id="128"/>
      </w:r>
      <w:r>
        <w:rPr/>
        <w:t xml:space="preserve">; behold, I will make them to come and worship before thy feet, and to know that I have </w:t>
      </w:r>
      <w:r>
        <w:rPr>
          <w:b w:val="1"/>
          <w:bCs w:val="1"/>
        </w:rPr>
        <w:t xml:space="preserve">loved</w:t>
      </w:r>
      <w:r>
        <w:rPr/>
        <w:t xml:space="preserve"> you </w:t>
      </w:r>
      <w:r>
        <w:rPr>
          <w:rStyle w:val="FootnoteReference"/>
        </w:rPr>
        <w:footnoteReference w:id="129"/>
      </w:r>
      <w:r>
        <w:rPr/>
        <w:t xml:space="preserve">.</w:t>
      </w:r>
    </w:p>
    <w:p>
      <w:pPr>
        <w:pStyle w:val="BodyVerse"/>
      </w:pPr>
      <w:r>
        <w:rPr>
          <w:b w:val="1"/>
          <w:bCs w:val="1"/>
        </w:rPr>
        <w:t xml:space="preserve">[[@Bible:Re 3:10]] </w:t>
      </w:r>
      <w:r>
        <w:rPr>
          <w:sz w:val="22"/>
          <w:szCs w:val="22"/>
          <w:b w:val="1"/>
          <w:bCs w:val="1"/>
          <w:vertAlign w:val="superscript"/>
        </w:rPr>
        <w:t xml:space="preserve">10  </w:t>
      </w:r>
      <w:r>
        <w:rPr/>
        <w:t xml:space="preserve">Because you have kept the word of my patience, I also will keep you from the </w:t>
      </w:r>
      <w:r>
        <w:rPr>
          <w:b w:val="1"/>
          <w:bCs w:val="1"/>
        </w:rPr>
        <w:t xml:space="preserve">hour of temptation</w:t>
      </w:r>
      <w:r>
        <w:rPr/>
        <w:t xml:space="preserve"> </w:t>
      </w:r>
      <w:r>
        <w:rPr>
          <w:rStyle w:val="FootnoteReference"/>
        </w:rPr>
        <w:footnoteReference w:id="130"/>
      </w:r>
      <w:r>
        <w:rPr/>
        <w:t xml:space="preserve">, which shall come upon all the world, to try those who dwell upon the earth.</w:t>
      </w:r>
    </w:p>
    <w:p>
      <w:pPr>
        <w:jc w:val="left"/>
        <w:ind w:left="360" w:right="0" w:firstLine="0" w:hanging="0"/>
        <w:spacing w:after="60"/>
      </w:pPr>
      <w:r>
        <w:rPr>
          <w:sz w:val="18"/>
          <w:szCs w:val="18"/>
          <w:i w:val="1"/>
          <w:iCs w:val="1"/>
        </w:rPr>
        <w:t xml:space="preserve">[fn] Here we see a direct link with "hour of temptation" and what "shall come upon all the world". It is not referring the general temptation or trial of saints, it is one the whole world will face.</w:t>
      </w:r>
    </w:p>
    <w:p>
      <w:pPr>
        <w:jc w:val="left"/>
        <w:ind w:left="360" w:right="0" w:firstLine="0" w:hanging="0"/>
        <w:spacing w:after="60"/>
      </w:pPr>
      <w:r>
        <w:rPr>
          <w:sz w:val="18"/>
          <w:szCs w:val="18"/>
          <w:i w:val="1"/>
          <w:iCs w:val="1"/>
        </w:rPr>
        <w:t xml:space="preserve">[fn] πειρασμός - Temptation or trial</w:t>
      </w:r>
    </w:p>
    <w:p>
      <w:pPr>
        <w:pStyle w:val="BodyVerse"/>
      </w:pPr>
      <w:r>
        <w:rPr>
          <w:b w:val="1"/>
          <w:bCs w:val="1"/>
        </w:rPr>
        <w:t xml:space="preserve">[[@Bible:Re 3:11]] </w:t>
      </w:r>
      <w:r>
        <w:rPr>
          <w:sz w:val="22"/>
          <w:szCs w:val="22"/>
          <w:b w:val="1"/>
          <w:bCs w:val="1"/>
          <w:vertAlign w:val="superscript"/>
        </w:rPr>
        <w:t xml:space="preserve">11  </w:t>
      </w:r>
      <w:r>
        <w:rPr/>
        <w:t xml:space="preserve">Behold, I come </w:t>
      </w:r>
      <w:r>
        <w:rPr>
          <w:b w:val="1"/>
          <w:bCs w:val="1"/>
        </w:rPr>
        <w:t xml:space="preserve">quickly</w:t>
      </w:r>
      <w:r>
        <w:rPr/>
        <w:t xml:space="preserve"> </w:t>
      </w:r>
      <w:r>
        <w:rPr>
          <w:rStyle w:val="FootnoteReference"/>
        </w:rPr>
        <w:footnoteReference w:id="131"/>
      </w:r>
      <w:r>
        <w:rPr/>
        <w:t xml:space="preserve">: </w:t>
      </w:r>
      <w:r>
        <w:rPr>
          <w:b w:val="1"/>
          <w:bCs w:val="1"/>
        </w:rPr>
        <w:t xml:space="preserve">hold that fast which you have</w:t>
      </w:r>
      <w:r>
        <w:rPr/>
        <w:t xml:space="preserve"> </w:t>
      </w:r>
      <w:r>
        <w:rPr>
          <w:rStyle w:val="FootnoteReference"/>
        </w:rPr>
        <w:footnoteReference w:id="132"/>
      </w:r>
      <w:r>
        <w:rPr/>
        <w:t xml:space="preserve">, that no one take thy </w:t>
      </w:r>
      <w:r>
        <w:rPr>
          <w:b w:val="1"/>
          <w:bCs w:val="1"/>
        </w:rPr>
        <w:t xml:space="preserve">crown</w:t>
      </w:r>
      <w:r>
        <w:rPr/>
        <w:t xml:space="preserve"> </w:t>
      </w:r>
      <w:r>
        <w:rPr>
          <w:rStyle w:val="FootnoteReference"/>
        </w:rPr>
        <w:footnoteReference w:id="133"/>
      </w:r>
      <w:r>
        <w:rPr/>
        <w:t xml:space="preserve"> </w:t>
      </w:r>
      <w:r>
        <w:rPr>
          <w:rStyle w:val="FootnoteReference"/>
        </w:rPr>
        <w:footnoteReference w:id="134"/>
      </w:r>
      <w:r>
        <w:rPr/>
        <w:t xml:space="preserve">.</w:t>
      </w:r>
    </w:p>
    <w:p>
      <w:pPr>
        <w:pStyle w:val="BodyVerse"/>
      </w:pPr>
      <w:r>
        <w:rPr>
          <w:b w:val="1"/>
          <w:bCs w:val="1"/>
        </w:rPr>
        <w:t xml:space="preserve">[[@Bible:Re 3:12]] </w:t>
      </w:r>
      <w:r>
        <w:rPr>
          <w:sz w:val="22"/>
          <w:szCs w:val="22"/>
          <w:b w:val="1"/>
          <w:bCs w:val="1"/>
          <w:vertAlign w:val="superscript"/>
        </w:rPr>
        <w:t xml:space="preserve">12  </w:t>
      </w:r>
      <w:r>
        <w:rPr/>
        <w:t xml:space="preserve">Him who </w:t>
      </w:r>
      <w:r>
        <w:rPr>
          <w:b w:val="1"/>
          <w:bCs w:val="1"/>
        </w:rPr>
        <w:t xml:space="preserve">overcomes</w:t>
      </w:r>
      <w:r>
        <w:rPr/>
        <w:t xml:space="preserve"> </w:t>
      </w:r>
      <w:r>
        <w:rPr>
          <w:rStyle w:val="FootnoteReference"/>
        </w:rPr>
        <w:footnoteReference w:id="135"/>
      </w:r>
      <w:r>
        <w:rPr/>
        <w:t xml:space="preserve"> will I make a pillar in the </w:t>
      </w:r>
      <w:r>
        <w:rPr>
          <w:b w:val="1"/>
          <w:bCs w:val="1"/>
        </w:rPr>
        <w:t xml:space="preserve">temple of my God</w:t>
      </w:r>
      <w:r>
        <w:rPr/>
        <w:t xml:space="preserve"> </w:t>
      </w:r>
      <w:r>
        <w:rPr>
          <w:rStyle w:val="FootnoteReference"/>
        </w:rPr>
        <w:footnoteReference w:id="136"/>
      </w:r>
      <w:r>
        <w:rPr/>
        <w:t xml:space="preserve">, and he shall go no more out: and I will write upon him the name of my God, and the name of the city of my God, which is new Jerusalem, which comes down out of heaven from my God: and </w:t>
      </w:r>
      <w:r>
        <w:rPr/>
        <w:t xml:space="preserve"> </w:t>
      </w:r>
      <w:r>
        <w:rPr>
          <w:b w:val="1"/>
          <w:bCs w:val="1"/>
        </w:rPr>
        <w:t xml:space="preserve">my new name</w:t>
      </w:r>
      <w:r>
        <w:rPr/>
        <w:t xml:space="preserve"> </w:t>
      </w:r>
      <w:r>
        <w:rPr>
          <w:rStyle w:val="FootnoteReference"/>
        </w:rPr>
        <w:footnoteReference w:id="137"/>
      </w:r>
      <w:r>
        <w:rPr/>
        <w:t xml:space="preserve">.</w:t>
      </w:r>
    </w:p>
    <w:p>
      <w:pPr>
        <w:jc w:val="left"/>
        <w:ind w:left="360" w:right="0" w:firstLine="0" w:hanging="0"/>
        <w:spacing w:after="60"/>
      </w:pPr>
      <w:r>
        <w:rPr>
          <w:sz w:val="18"/>
          <w:szCs w:val="18"/>
          <w:i w:val="1"/>
          <w:iCs w:val="1"/>
        </w:rPr>
        <w:t xml:space="preserve">[fn] The seal of the Father.</w:t>
      </w:r>
    </w:p>
    <w:p>
      <w:pPr>
        <w:pStyle w:val="BodyVerse"/>
      </w:pPr>
      <w:r>
        <w:rPr>
          <w:b w:val="1"/>
          <w:bCs w:val="1"/>
        </w:rPr>
        <w:t xml:space="preserve">[[@Bible:Re 3:13]] </w:t>
      </w:r>
      <w:r>
        <w:rPr>
          <w:sz w:val="22"/>
          <w:szCs w:val="22"/>
          <w:b w:val="1"/>
          <w:bCs w:val="1"/>
          <w:vertAlign w:val="superscript"/>
        </w:rPr>
        <w:t xml:space="preserve">13  </w:t>
      </w:r>
      <w:r>
        <w:rPr/>
        <w:t xml:space="preserve">He who has an ear, let him </w:t>
      </w:r>
      <w:r>
        <w:rPr>
          <w:b w:val="1"/>
          <w:bCs w:val="1"/>
        </w:rPr>
        <w:t xml:space="preserve">hear</w:t>
      </w:r>
      <w:r>
        <w:rPr/>
        <w:t xml:space="preserve"> </w:t>
      </w:r>
      <w:r>
        <w:rPr>
          <w:rStyle w:val="FootnoteReference"/>
        </w:rPr>
        <w:footnoteReference w:id="138"/>
      </w:r>
      <w:r>
        <w:rPr/>
        <w:t xml:space="preserve"> what </w:t>
      </w:r>
      <w:r>
        <w:rPr>
          <w:b w:val="1"/>
          <w:bCs w:val="1"/>
        </w:rPr>
        <w:t xml:space="preserve">the Spirit says</w:t>
      </w:r>
      <w:r>
        <w:rPr/>
        <w:t xml:space="preserve"> </w:t>
      </w:r>
      <w:r>
        <w:rPr>
          <w:rStyle w:val="FootnoteReference"/>
        </w:rPr>
        <w:footnoteReference w:id="139"/>
      </w:r>
      <w:r>
        <w:rPr/>
        <w:t xml:space="preserve"> unto the churches.</w:t>
      </w:r>
    </w:p>
    <w:p>
      <w:pPr>
        <w:spacing w:after="150"/>
      </w:pPr>
      <w:r>
        <w:rPr/>
        <w:t xml:space="preserve"/>
      </w:r>
    </w:p>
    <w:p>
      <w:pPr>
        <w:pStyle w:val="Heading3"/>
      </w:pPr>
      <w:bookmarkStart w:id="15" w:name="_Toc15"/>
      <w:r>
        <w:t>#7 Left Jesus - Message to Laodicea: Jesus Outside</w:t>
      </w:r>
      <w:bookmarkEnd w:id="15"/>
    </w:p>
    <w:p>
      <w:pPr>
        <w:pStyle w:val="SectionBody"/>
      </w:pPr>
      <w:r>
        <w:rPr>
          <w:b w:val="1"/>
          <w:bCs w:val="1"/>
        </w:rPr>
        <w:t xml:space="preserve">Important Note:</w:t>
      </w:r>
      <w:r>
        <w:rPr/>
        <w:t xml:space="preserve"> Again, this church might need to be refined by fire, but he is telling them to repent and open the door; joining the wedding supper might be hinted at in the text, but we cannot know.</w:t>
      </w:r>
    </w:p>
    <w:p>
      <w:pPr>
        <w:spacing w:after="150"/>
      </w:pPr>
      <w:r>
        <w:rPr/>
        <w:t xml:space="preserve"/>
      </w:r>
    </w:p>
    <w:p>
      <w:pPr>
        <w:pStyle w:val="BodyVerse"/>
      </w:pPr>
      <w:r>
        <w:rPr>
          <w:b w:val="1"/>
          <w:bCs w:val="1"/>
        </w:rPr>
        <w:t xml:space="preserve">[[@Bible:Re 3:14]] </w:t>
      </w:r>
      <w:r>
        <w:rPr>
          <w:sz w:val="22"/>
          <w:szCs w:val="22"/>
          <w:b w:val="1"/>
          <w:bCs w:val="1"/>
          <w:vertAlign w:val="superscript"/>
        </w:rPr>
        <w:t xml:space="preserve">14  </w:t>
      </w:r>
      <w:r>
        <w:rPr/>
        <w:t xml:space="preserve">And unto the messenger of the church of the Laodiceans </w:t>
      </w:r>
      <w:r>
        <w:rPr>
          <w:b w:val="1"/>
          <w:bCs w:val="1"/>
        </w:rPr>
        <w:t xml:space="preserve">write</w:t>
      </w:r>
      <w:r>
        <w:rPr/>
        <w:t xml:space="preserve"> </w:t>
      </w:r>
      <w:r>
        <w:rPr>
          <w:rStyle w:val="FootnoteReference"/>
        </w:rPr>
        <w:footnoteReference w:id="140"/>
      </w:r>
      <w:r>
        <w:rPr/>
        <w:t xml:space="preserve">; These things says the Amen, the </w:t>
      </w:r>
      <w:r>
        <w:rPr>
          <w:b w:val="1"/>
          <w:bCs w:val="1"/>
        </w:rPr>
        <w:t xml:space="preserve">faithful and true witness</w:t>
      </w:r>
      <w:r>
        <w:rPr/>
        <w:t xml:space="preserve"> </w:t>
      </w:r>
      <w:r>
        <w:rPr>
          <w:rStyle w:val="FootnoteReference"/>
        </w:rPr>
        <w:footnoteReference w:id="141"/>
      </w:r>
      <w:r>
        <w:rPr/>
        <w:t xml:space="preserve">, the beginning of the creation of God;</w:t>
      </w:r>
    </w:p>
    <w:p>
      <w:pPr>
        <w:pStyle w:val="BodyVerse"/>
      </w:pPr>
      <w:r>
        <w:rPr>
          <w:b w:val="1"/>
          <w:bCs w:val="1"/>
        </w:rPr>
        <w:t xml:space="preserve">[[@Bible:Re 3:15]] </w:t>
      </w:r>
      <w:r>
        <w:rPr>
          <w:sz w:val="22"/>
          <w:szCs w:val="22"/>
          <w:b w:val="1"/>
          <w:bCs w:val="1"/>
          <w:vertAlign w:val="superscript"/>
        </w:rPr>
        <w:t xml:space="preserve">15  </w:t>
      </w:r>
      <w:r>
        <w:rPr/>
        <w:t xml:space="preserve">I know thy </w:t>
      </w:r>
      <w:r>
        <w:rPr>
          <w:b w:val="1"/>
          <w:bCs w:val="1"/>
        </w:rPr>
        <w:t xml:space="preserve">works</w:t>
      </w:r>
      <w:r>
        <w:rPr/>
        <w:t xml:space="preserve"> </w:t>
      </w:r>
      <w:r>
        <w:rPr>
          <w:rStyle w:val="FootnoteReference"/>
        </w:rPr>
        <w:footnoteReference w:id="142"/>
      </w:r>
      <w:r>
        <w:rPr/>
        <w:t xml:space="preserve"> </w:t>
      </w:r>
      <w:r>
        <w:rPr>
          <w:rStyle w:val="FootnoteReference"/>
        </w:rPr>
        <w:footnoteReference w:id="143"/>
      </w:r>
      <w:r>
        <w:rPr/>
        <w:t xml:space="preserve">, that you are neither cold nor hot: I would you were cold or hot.</w:t>
      </w:r>
    </w:p>
    <w:p>
      <w:pPr>
        <w:pStyle w:val="BodyVerse"/>
      </w:pPr>
      <w:r>
        <w:rPr>
          <w:b w:val="1"/>
          <w:bCs w:val="1"/>
        </w:rPr>
        <w:t xml:space="preserve">[[@Bible:Re 3:16]] </w:t>
      </w:r>
      <w:r>
        <w:rPr>
          <w:sz w:val="22"/>
          <w:szCs w:val="22"/>
          <w:b w:val="1"/>
          <w:bCs w:val="1"/>
          <w:vertAlign w:val="superscript"/>
        </w:rPr>
        <w:t xml:space="preserve">16  </w:t>
      </w:r>
      <w:r>
        <w:rPr/>
        <w:t xml:space="preserve">So then because you are lukewarm, and neither cold nor hot, I will spue you out of my mouth.</w:t>
      </w:r>
    </w:p>
    <w:p>
      <w:pPr>
        <w:pStyle w:val="BodyVerse"/>
      </w:pPr>
      <w:r>
        <w:rPr>
          <w:b w:val="1"/>
          <w:bCs w:val="1"/>
        </w:rPr>
        <w:t xml:space="preserve">[[@Bible:Re 3:17]] </w:t>
      </w:r>
      <w:r>
        <w:rPr>
          <w:sz w:val="22"/>
          <w:szCs w:val="22"/>
          <w:b w:val="1"/>
          <w:bCs w:val="1"/>
          <w:vertAlign w:val="superscript"/>
        </w:rPr>
        <w:t xml:space="preserve">17  </w:t>
      </w:r>
      <w:r>
        <w:rPr/>
        <w:t xml:space="preserve">Because you say, I am rich, and prospered, and have need of nothing; and know not that you are wretched, and miserable, and poor, and blind, and </w:t>
      </w:r>
      <w:r>
        <w:rPr>
          <w:b w:val="1"/>
          <w:bCs w:val="1"/>
        </w:rPr>
        <w:t xml:space="preserve">naked</w:t>
      </w:r>
      <w:r>
        <w:rPr/>
        <w:t xml:space="preserve"> </w:t>
      </w:r>
      <w:r>
        <w:rPr>
          <w:rStyle w:val="FootnoteReference"/>
        </w:rPr>
        <w:footnoteReference w:id="144"/>
      </w:r>
      <w:r>
        <w:rPr/>
        <w:t xml:space="preserve">:</w:t>
      </w:r>
    </w:p>
    <w:p>
      <w:pPr>
        <w:pStyle w:val="BodyVerse"/>
      </w:pPr>
      <w:r>
        <w:rPr>
          <w:b w:val="1"/>
          <w:bCs w:val="1"/>
        </w:rPr>
        <w:t xml:space="preserve">[[@Bible:Re 3:18]] </w:t>
      </w:r>
      <w:r>
        <w:rPr>
          <w:sz w:val="22"/>
          <w:szCs w:val="22"/>
          <w:b w:val="1"/>
          <w:bCs w:val="1"/>
          <w:vertAlign w:val="superscript"/>
        </w:rPr>
        <w:t xml:space="preserve">18  </w:t>
      </w:r>
      <w:r>
        <w:rPr/>
        <w:t xml:space="preserve">I counsel you to buy of me gold burned in the fire, that you may be rich; and white raiment, that you may be </w:t>
      </w:r>
      <w:r>
        <w:rPr>
          <w:b w:val="1"/>
          <w:bCs w:val="1"/>
        </w:rPr>
        <w:t xml:space="preserve">clothed</w:t>
      </w:r>
      <w:r>
        <w:rPr/>
        <w:t xml:space="preserve"> </w:t>
      </w:r>
      <w:r>
        <w:rPr>
          <w:rStyle w:val="FootnoteReference"/>
        </w:rPr>
        <w:footnoteReference w:id="145"/>
      </w:r>
      <w:r>
        <w:rPr/>
        <w:t xml:space="preserve">, and that the shame of thy </w:t>
      </w:r>
      <w:r>
        <w:rPr>
          <w:b w:val="1"/>
          <w:bCs w:val="1"/>
        </w:rPr>
        <w:t xml:space="preserve">nakedness</w:t>
      </w:r>
      <w:r>
        <w:rPr/>
        <w:t xml:space="preserve"> do not appear </w:t>
      </w:r>
      <w:r>
        <w:rPr>
          <w:rStyle w:val="FootnoteReference"/>
        </w:rPr>
        <w:footnoteReference w:id="146"/>
      </w:r>
      <w:r>
        <w:rPr/>
        <w:t xml:space="preserve">; and eyesalve to anoint your eyes, that you may see.</w:t>
      </w:r>
    </w:p>
    <w:p>
      <w:pPr>
        <w:pStyle w:val="BodyVerse"/>
      </w:pPr>
      <w:r>
        <w:rPr>
          <w:b w:val="1"/>
          <w:bCs w:val="1"/>
        </w:rPr>
        <w:t xml:space="preserve">[[@Bible:Re 3:19]] </w:t>
      </w:r>
      <w:r>
        <w:rPr>
          <w:sz w:val="22"/>
          <w:szCs w:val="22"/>
          <w:b w:val="1"/>
          <w:bCs w:val="1"/>
          <w:vertAlign w:val="superscript"/>
        </w:rPr>
        <w:t xml:space="preserve">19  </w:t>
      </w:r>
      <w:r>
        <w:rPr/>
        <w:t xml:space="preserve">As many as I </w:t>
      </w:r>
      <w:r>
        <w:rPr>
          <w:b w:val="1"/>
          <w:bCs w:val="1"/>
        </w:rPr>
        <w:t xml:space="preserve">love</w:t>
      </w:r>
      <w:r>
        <w:rPr/>
        <w:t xml:space="preserve"> </w:t>
      </w:r>
      <w:r>
        <w:rPr>
          <w:rStyle w:val="FootnoteReference"/>
        </w:rPr>
        <w:footnoteReference w:id="147"/>
      </w:r>
      <w:r>
        <w:rPr/>
        <w:t xml:space="preserve">, I rebuke and chasten: be zealous therefore, and </w:t>
      </w:r>
      <w:r>
        <w:rPr>
          <w:b w:val="1"/>
          <w:bCs w:val="1"/>
        </w:rPr>
        <w:t xml:space="preserve">repent</w:t>
      </w:r>
      <w:r>
        <w:rPr/>
        <w:t xml:space="preserve"> </w:t>
      </w:r>
      <w:r>
        <w:rPr>
          <w:rStyle w:val="FootnoteReference"/>
        </w:rPr>
        <w:footnoteReference w:id="148"/>
      </w:r>
      <w:r>
        <w:rPr/>
        <w:t xml:space="preserve">.</w:t>
      </w:r>
    </w:p>
    <w:p>
      <w:pPr>
        <w:pStyle w:val="BodyVerse"/>
      </w:pPr>
      <w:r>
        <w:rPr>
          <w:b w:val="1"/>
          <w:bCs w:val="1"/>
        </w:rPr>
        <w:t xml:space="preserve">[[@Bible:Re 3:20]] </w:t>
      </w:r>
      <w:r>
        <w:rPr>
          <w:sz w:val="22"/>
          <w:szCs w:val="22"/>
          <w:b w:val="1"/>
          <w:bCs w:val="1"/>
          <w:vertAlign w:val="superscript"/>
        </w:rPr>
        <w:t xml:space="preserve">20  </w:t>
      </w:r>
      <w:r>
        <w:rPr/>
        <w:t xml:space="preserve">Behold, I stand at the door, and knock: if any man hear my voice, and opens the </w:t>
      </w:r>
      <w:r>
        <w:rPr>
          <w:b w:val="1"/>
          <w:bCs w:val="1"/>
        </w:rPr>
        <w:t xml:space="preserve">door</w:t>
      </w:r>
      <w:r>
        <w:rPr/>
        <w:t xml:space="preserve"> </w:t>
      </w:r>
      <w:r>
        <w:rPr>
          <w:rStyle w:val="FootnoteReference"/>
        </w:rPr>
        <w:footnoteReference w:id="149"/>
      </w:r>
      <w:r>
        <w:rPr/>
        <w:t xml:space="preserve">, I will come in to him, and will eat with him, and he with me.</w:t>
      </w:r>
    </w:p>
    <w:p>
      <w:pPr>
        <w:pStyle w:val="BodyVerse"/>
      </w:pPr>
      <w:r>
        <w:rPr>
          <w:b w:val="1"/>
          <w:bCs w:val="1"/>
        </w:rPr>
        <w:t xml:space="preserve">[[@Bible:Re 3:21]] </w:t>
      </w:r>
      <w:r>
        <w:rPr>
          <w:sz w:val="22"/>
          <w:szCs w:val="22"/>
          <w:b w:val="1"/>
          <w:bCs w:val="1"/>
          <w:vertAlign w:val="superscript"/>
        </w:rPr>
        <w:t xml:space="preserve">21  </w:t>
      </w:r>
      <w:r>
        <w:rPr/>
        <w:t xml:space="preserve">To him who </w:t>
      </w:r>
      <w:r>
        <w:rPr>
          <w:b w:val="1"/>
          <w:bCs w:val="1"/>
        </w:rPr>
        <w:t xml:space="preserve">overcomes</w:t>
      </w:r>
      <w:r>
        <w:rPr/>
        <w:t xml:space="preserve"> </w:t>
      </w:r>
      <w:r>
        <w:rPr>
          <w:rStyle w:val="FootnoteReference"/>
        </w:rPr>
        <w:footnoteReference w:id="150"/>
      </w:r>
      <w:r>
        <w:rPr/>
        <w:t xml:space="preserve"> will I grant to sit with me in my throne, even as I also </w:t>
      </w:r>
      <w:r>
        <w:rPr>
          <w:b w:val="1"/>
          <w:bCs w:val="1"/>
        </w:rPr>
        <w:t xml:space="preserve">overcame</w:t>
      </w:r>
      <w:r>
        <w:rPr/>
        <w:t xml:space="preserve"> </w:t>
      </w:r>
      <w:r>
        <w:rPr>
          <w:rStyle w:val="FootnoteReference"/>
        </w:rPr>
        <w:footnoteReference w:id="151"/>
      </w:r>
      <w:r>
        <w:rPr/>
        <w:t xml:space="preserve">, and </w:t>
      </w:r>
      <w:r>
        <w:rPr>
          <w:b w:val="1"/>
          <w:bCs w:val="1"/>
        </w:rPr>
        <w:t xml:space="preserve">am set down with my Father in his throne</w:t>
      </w:r>
      <w:r>
        <w:rPr/>
        <w:t xml:space="preserve"> </w:t>
      </w:r>
      <w:r>
        <w:rPr>
          <w:rStyle w:val="FootnoteReference"/>
        </w:rPr>
        <w:footnoteReference w:id="152"/>
      </w:r>
      <w:r>
        <w:rPr/>
        <w:t xml:space="preserve">.</w:t>
      </w:r>
    </w:p>
    <w:p>
      <w:pPr>
        <w:jc w:val="left"/>
        <w:ind w:left="360" w:right="0" w:firstLine="0" w:hanging="0"/>
        <w:spacing w:after="60"/>
      </w:pPr>
      <w:r>
        <w:rPr>
          <w:sz w:val="18"/>
          <w:szCs w:val="18"/>
          <w:i w:val="1"/>
          <w:iCs w:val="1"/>
        </w:rPr>
        <w:t xml:space="preserve">[fn] Jesus is on the throne too, not just the Father, so in the white throne judgment, we can see how the Father and the Son being one demonstrates that Jesus could execute the white throne judgment once he has put all things under his feet after the 1000 years at the time of the final judgment.</w:t>
      </w:r>
    </w:p>
    <w:p>
      <w:pPr>
        <w:pStyle w:val="BodyVerse"/>
      </w:pPr>
      <w:r>
        <w:rPr>
          <w:b w:val="1"/>
          <w:bCs w:val="1"/>
        </w:rPr>
        <w:t xml:space="preserve">[[@Bible:Re 3:22]] </w:t>
      </w:r>
      <w:r>
        <w:rPr>
          <w:sz w:val="22"/>
          <w:szCs w:val="22"/>
          <w:b w:val="1"/>
          <w:bCs w:val="1"/>
          <w:vertAlign w:val="superscript"/>
        </w:rPr>
        <w:t xml:space="preserve">22  </w:t>
      </w:r>
      <w:r>
        <w:rPr/>
        <w:t xml:space="preserve">He who has an ear, let him </w:t>
      </w:r>
      <w:r>
        <w:rPr>
          <w:b w:val="1"/>
          <w:bCs w:val="1"/>
        </w:rPr>
        <w:t xml:space="preserve">hear</w:t>
      </w:r>
      <w:r>
        <w:rPr/>
        <w:t xml:space="preserve"> </w:t>
      </w:r>
      <w:r>
        <w:rPr>
          <w:rStyle w:val="FootnoteReference"/>
        </w:rPr>
        <w:footnoteReference w:id="153"/>
      </w:r>
      <w:r>
        <w:rPr/>
        <w:t xml:space="preserve"> what </w:t>
      </w:r>
      <w:r>
        <w:rPr>
          <w:b w:val="1"/>
          <w:bCs w:val="1"/>
        </w:rPr>
        <w:t xml:space="preserve">the Spirit says</w:t>
      </w:r>
      <w:r>
        <w:rPr/>
        <w:t xml:space="preserve"> </w:t>
      </w:r>
      <w:r>
        <w:rPr>
          <w:rStyle w:val="FootnoteReference"/>
        </w:rPr>
        <w:footnoteReference w:id="154"/>
      </w:r>
      <w:r>
        <w:rPr/>
        <w:t xml:space="preserve"> unto the churches.</w:t>
      </w:r>
    </w:p>
    <w:p>
      <w:pPr>
        <w:jc w:val="center"/>
        <w:spacing w:before="120" w:after="60"/>
      </w:pPr>
      <w:r>
        <w:rPr>
          <w:sz w:val="36"/>
          <w:szCs w:val="36"/>
          <w:b w:val="1"/>
          <w:bCs w:val="1"/>
        </w:rPr>
        <w:t xml:space="preserve">✶</w:t>
      </w:r>
    </w:p>
    <w:p>
      <w:pPr>
        <w:pStyle w:val="Heading2"/>
      </w:pPr>
      <w:bookmarkStart w:id="16" w:name="_Toc16"/>
      <w:r>
        <w:t>The Open Door: Jesus Shares The Future With The Church</w:t>
      </w:r>
      <w:bookmarkEnd w:id="16"/>
    </w:p>
    <w:p>
      <w:pPr>
        <w:pStyle w:val="SectionBody"/>
      </w:pPr>
      <w:r>
        <w:rPr>
          <w:b w:val="1"/>
          <w:bCs w:val="1"/>
        </w:rPr>
        <w:t xml:space="preserve">Linear Scene 1.2:</w:t>
      </w:r>
      <w:r>
        <w:rPr/>
        <w:t xml:space="preserve"> Here is what an open door will look like into heaven. Jesus is showing things </w:t>
      </w:r>
      <w:r>
        <w:rPr>
          <w:b w:val="1"/>
          <w:bCs w:val="1"/>
        </w:rPr>
        <w:t xml:space="preserve">exclusive to the future</w:t>
      </w:r>
      <w:r>
        <w:rPr/>
        <w:t xml:space="preserve">. Further, we cannot miss something significant that just happened: Jesus was speaking to John on Earth about the 7 churches, and now that voice is suddenly in heaven. This lets us know that Jesus' movement from earth to heaven can be communicated through the location of His voice [1:10, 4:1].</w:t>
      </w:r>
    </w:p>
    <w:p>
      <w:pPr>
        <w:spacing w:after="150"/>
      </w:pPr>
      <w:r>
        <w:rPr/>
        <w:t xml:space="preserve"/>
      </w:r>
    </w:p>
    <w:p>
      <w:pPr>
        <w:pStyle w:val="BodyVerse"/>
      </w:pPr>
      <w:r>
        <w:rPr>
          <w:b w:val="1"/>
          <w:bCs w:val="1"/>
        </w:rPr>
        <w:t xml:space="preserve">[[@Bible:Re 4:1]] </w:t>
      </w:r>
      <w:r>
        <w:rPr>
          <w:sz w:val="22"/>
          <w:szCs w:val="22"/>
          <w:b w:val="1"/>
          <w:bCs w:val="1"/>
          <w:vertAlign w:val="superscript"/>
        </w:rPr>
        <w:t xml:space="preserve">1  </w:t>
      </w:r>
      <w:r>
        <w:rPr/>
        <w:t xml:space="preserve">After this I looked, and, behold, a </w:t>
      </w:r>
      <w:r>
        <w:rPr>
          <w:b w:val="1"/>
          <w:bCs w:val="1"/>
        </w:rPr>
        <w:t xml:space="preserve">door was opened</w:t>
      </w:r>
      <w:r>
        <w:rPr/>
        <w:t xml:space="preserve"> </w:t>
      </w:r>
      <w:r>
        <w:rPr>
          <w:rStyle w:val="FootnoteReference"/>
        </w:rPr>
        <w:footnoteReference w:id="155"/>
      </w:r>
      <w:r>
        <w:rPr/>
        <w:t xml:space="preserve"> in heaven: and the first voice which I heard was as it were of a </w:t>
      </w:r>
      <w:r>
        <w:rPr>
          <w:b w:val="1"/>
          <w:bCs w:val="1"/>
        </w:rPr>
        <w:t xml:space="preserve">trumpet</w:t>
      </w:r>
      <w:r>
        <w:rPr/>
        <w:t xml:space="preserve"> </w:t>
      </w:r>
      <w:r>
        <w:rPr>
          <w:rStyle w:val="FootnoteReference"/>
        </w:rPr>
        <w:footnoteReference w:id="156"/>
      </w:r>
      <w:r>
        <w:rPr/>
        <w:t xml:space="preserve"> talking with me; which said, </w:t>
      </w:r>
      <w:r>
        <w:rPr>
          <w:b w:val="1"/>
          <w:bCs w:val="1"/>
        </w:rPr>
        <w:t xml:space="preserve">Ascend here</w:t>
      </w:r>
      <w:r>
        <w:rPr/>
        <w:t xml:space="preserve"> </w:t>
      </w:r>
      <w:r>
        <w:rPr>
          <w:rStyle w:val="FootnoteReference"/>
        </w:rPr>
        <w:footnoteReference w:id="157"/>
      </w:r>
      <w:r>
        <w:rPr/>
        <w:t xml:space="preserve">, and I will show you </w:t>
      </w:r>
      <w:r>
        <w:rPr>
          <w:b w:val="1"/>
          <w:bCs w:val="1"/>
        </w:rPr>
        <w:t xml:space="preserve">things which must be hereafter</w:t>
      </w:r>
      <w:r>
        <w:rPr/>
        <w:t xml:space="preserve"> </w:t>
      </w:r>
      <w:r>
        <w:rPr>
          <w:rStyle w:val="FootnoteReference"/>
        </w:rPr>
        <w:footnoteReference w:id="158"/>
      </w:r>
      <w:r>
        <w:rPr/>
        <w:t xml:space="preserve">.</w:t>
      </w:r>
    </w:p>
    <w:p>
      <w:pPr>
        <w:jc w:val="left"/>
        <w:ind w:left="360" w:right="0" w:firstLine="0" w:hanging="0"/>
        <w:spacing w:after="60"/>
      </w:pPr>
      <w:r>
        <w:rPr>
          <w:sz w:val="18"/>
          <w:szCs w:val="18"/>
          <w:i w:val="1"/>
          <w:iCs w:val="1"/>
        </w:rPr>
        <w:t xml:space="preserve">[fn] Jesus is showing things exclusive to the future. This is crucial for Chapter 12, where the birth of Jesus might be seen as a flashback to Mary's birth; this is not the case. This birth is like those of Isaiah 26 and Isaiah 66:7.</w:t>
      </w:r>
    </w:p>
    <w:p>
      <w:pPr>
        <w:pStyle w:val="BodyVerse"/>
      </w:pPr>
      <w:r>
        <w:rPr>
          <w:b w:val="1"/>
          <w:bCs w:val="1"/>
        </w:rPr>
        <w:t xml:space="preserve">[[@Bible:Re 4:2]] </w:t>
      </w:r>
      <w:r>
        <w:rPr>
          <w:sz w:val="22"/>
          <w:szCs w:val="22"/>
          <w:b w:val="1"/>
          <w:bCs w:val="1"/>
          <w:vertAlign w:val="superscript"/>
        </w:rPr>
        <w:t xml:space="preserve">2  </w:t>
      </w:r>
      <w:r>
        <w:rPr/>
        <w:t xml:space="preserve">And immediately I was in the spirit: and, behold, a throne was set in heaven, and one sat on the throne.</w:t>
      </w:r>
    </w:p>
    <w:p>
      <w:pPr>
        <w:pStyle w:val="BodyVerse"/>
      </w:pPr>
      <w:r>
        <w:rPr>
          <w:b w:val="1"/>
          <w:bCs w:val="1"/>
        </w:rPr>
        <w:t xml:space="preserve">[[@Bible:Re 4:3]] </w:t>
      </w:r>
      <w:r>
        <w:rPr>
          <w:sz w:val="22"/>
          <w:szCs w:val="22"/>
          <w:b w:val="1"/>
          <w:bCs w:val="1"/>
          <w:vertAlign w:val="superscript"/>
        </w:rPr>
        <w:t xml:space="preserve">3  </w:t>
      </w:r>
      <w:r>
        <w:rPr/>
        <w:t xml:space="preserve">And he who sat was to look upon like a jasper and a sardius stone: and there was a </w:t>
      </w:r>
      <w:r>
        <w:rPr>
          <w:b w:val="1"/>
          <w:bCs w:val="1"/>
        </w:rPr>
        <w:t xml:space="preserve">rainbow round about the throne</w:t>
      </w:r>
      <w:r>
        <w:rPr/>
        <w:t xml:space="preserve"> </w:t>
      </w:r>
      <w:r>
        <w:rPr>
          <w:rStyle w:val="FootnoteReference"/>
        </w:rPr>
        <w:footnoteReference w:id="159"/>
      </w:r>
      <w:r>
        <w:rPr/>
        <w:t xml:space="preserve">, in sight like unto an emerald.</w:t>
      </w:r>
    </w:p>
    <w:p>
      <w:pPr>
        <w:spacing w:after="150"/>
      </w:pPr>
      <w:r>
        <w:rPr/>
        <w:t xml:space="preserve"/>
      </w:r>
    </w:p>
    <w:p>
      <w:pPr>
        <w:pStyle w:val="Heading3"/>
      </w:pPr>
      <w:bookmarkStart w:id="17" w:name="_Toc17"/>
      <w:r>
        <w:t>The 24 Elders in White with Crowns</w:t>
      </w:r>
      <w:bookmarkEnd w:id="17"/>
    </w:p>
    <w:p>
      <w:pPr>
        <w:pStyle w:val="SectionBody"/>
      </w:pPr>
      <w:r>
        <w:rPr>
          <w:b w:val="1"/>
          <w:bCs w:val="1"/>
        </w:rPr>
        <w:t xml:space="preserve">Important Note:</w:t>
      </w:r>
      <w:r>
        <w:rPr/>
        <w:t xml:space="preserve"> When we see the saints, they are shown receiving crowns, wearing them, holding harps, and wearing white raiment. The 24 elders seem deeply connected to the image of saints: crowns, thrones, and white raiment. All very particular to saints. It would be safe to postulate that these 24 elders are linked to the church but distinct from the full body of saints, even if they are part of it.</w:t>
      </w:r>
    </w:p>
    <w:p>
      <w:pPr>
        <w:pStyle w:val="SectionBody"/>
      </w:pPr>
      <w:r>
        <w:rPr/>
        <w:t xml:space="preserve">At most, from an interpretive standpoint, these are leaders of saints, but cannot be, by the text itself, a "raptured church".</w:t>
      </w:r>
    </w:p>
    <w:p>
      <w:pPr>
        <w:pStyle w:val="SectionBody"/>
      </w:pPr>
      <w:r>
        <w:rPr/>
        <w:t xml:space="preserve">We should not read into the text what is not there or inferred by reference. For example, one might postulate that these are the twelve apostles (Matthew 19:28 and Luke 22:29-30) and the twelve leaders of Israel, making a total of 24 elders. But if John is observing them, how can he be one of them, as he is an apostle – basically, the text does not tell us their identity beyond their number and general characteristics.</w:t>
      </w:r>
    </w:p>
    <w:p>
      <w:pPr>
        <w:spacing w:after="150"/>
      </w:pPr>
      <w:r>
        <w:rPr/>
        <w:t xml:space="preserve"/>
      </w:r>
    </w:p>
    <w:p>
      <w:pPr>
        <w:pStyle w:val="BodyVerse"/>
      </w:pPr>
      <w:r>
        <w:rPr>
          <w:b w:val="1"/>
          <w:bCs w:val="1"/>
        </w:rPr>
        <w:t xml:space="preserve">[[@Bible:Re 4:4]] </w:t>
      </w:r>
      <w:r>
        <w:rPr>
          <w:sz w:val="22"/>
          <w:szCs w:val="22"/>
          <w:b w:val="1"/>
          <w:bCs w:val="1"/>
          <w:vertAlign w:val="superscript"/>
        </w:rPr>
        <w:t xml:space="preserve">4  </w:t>
      </w:r>
      <w:r>
        <w:rPr/>
        <w:t xml:space="preserve">And round about the throne were four and twenty thrones: and upon the thrones I saw four and twenty </w:t>
      </w:r>
      <w:r>
        <w:rPr>
          <w:b w:val="1"/>
          <w:bCs w:val="1"/>
        </w:rPr>
        <w:t xml:space="preserve">elders</w:t>
      </w:r>
      <w:r>
        <w:rPr/>
        <w:t xml:space="preserve"> </w:t>
      </w:r>
      <w:r>
        <w:rPr>
          <w:rStyle w:val="FootnoteReference"/>
        </w:rPr>
        <w:footnoteReference w:id="160"/>
      </w:r>
      <w:r>
        <w:rPr/>
        <w:t xml:space="preserve"> sitting, clothed in </w:t>
      </w:r>
      <w:r>
        <w:rPr>
          <w:b w:val="1"/>
          <w:bCs w:val="1"/>
        </w:rPr>
        <w:t xml:space="preserve">white raiment</w:t>
      </w:r>
      <w:r>
        <w:rPr/>
        <w:t xml:space="preserve"> </w:t>
      </w:r>
      <w:r>
        <w:rPr>
          <w:rStyle w:val="FootnoteReference"/>
        </w:rPr>
        <w:footnoteReference w:id="161"/>
      </w:r>
      <w:r>
        <w:rPr/>
        <w:t xml:space="preserve">; and they had on their heads </w:t>
      </w:r>
      <w:r>
        <w:rPr>
          <w:b w:val="1"/>
          <w:bCs w:val="1"/>
        </w:rPr>
        <w:t xml:space="preserve">crowns of gold</w:t>
      </w:r>
      <w:r>
        <w:rPr/>
        <w:t xml:space="preserve"> </w:t>
      </w:r>
      <w:r>
        <w:rPr>
          <w:rStyle w:val="FootnoteReference"/>
        </w:rPr>
        <w:footnoteReference w:id="162"/>
      </w:r>
      <w:r>
        <w:rPr/>
        <w:t xml:space="preserve">.</w:t>
      </w:r>
    </w:p>
    <w:p>
      <w:pPr>
        <w:jc w:val="left"/>
        <w:ind w:left="360" w:right="0" w:firstLine="0" w:hanging="0"/>
        <w:spacing w:after="60"/>
      </w:pPr>
      <w:r>
        <w:rPr>
          <w:sz w:val="18"/>
          <w:szCs w:val="18"/>
          <w:i w:val="1"/>
          <w:iCs w:val="1"/>
        </w:rPr>
        <w:t xml:space="preserve">[fn] In Greek it is θρόνος, which is better translated as throne. Making the 24 elders, again, a closer match to saints like in Revelation 3:21.</w:t>
      </w:r>
    </w:p>
    <w:p>
      <w:pPr>
        <w:spacing w:after="150"/>
      </w:pPr>
      <w:r>
        <w:rPr/>
        <w:t xml:space="preserve"/>
      </w:r>
    </w:p>
    <w:p>
      <w:pPr>
        <w:pStyle w:val="Heading3"/>
      </w:pPr>
      <w:bookmarkStart w:id="18" w:name="_Toc18"/>
      <w:r>
        <w:t>The Throne and Thunders and Spirits</w:t>
      </w:r>
      <w:bookmarkEnd w:id="18"/>
    </w:p>
    <w:p>
      <w:pPr>
        <w:pStyle w:val="SectionBody"/>
      </w:pPr>
      <w:r>
        <w:rPr>
          <w:b w:val="1"/>
          <w:bCs w:val="1"/>
        </w:rPr>
        <w:t xml:space="preserve">Important Note:</w:t>
      </w:r>
      <w:r>
        <w:rPr/>
        <w:t xml:space="preserve"> From a textual-critical standpoint, prophetic literature demands maximal restraint in translation because its symbolic vocabulary functions through repetition. Revelation 4:5 employs a tightly patterned lexical triad — ἀστραπαί / φωναί / βρονταί ("lightnings/voices/thunders"), that appear at key structural moments (4:5; 8:5; 11:19; 16:18).</w:t>
      </w:r>
    </w:p>
    <w:p>
      <w:pPr>
        <w:spacing w:after="150"/>
      </w:pPr>
      <w:r>
        <w:rPr/>
        <w:t xml:space="preserve"/>
      </w:r>
    </w:p>
    <w:p>
      <w:pPr>
        <w:pStyle w:val="BodyVerse"/>
      </w:pPr>
      <w:r>
        <w:rPr>
          <w:b w:val="1"/>
          <w:bCs w:val="1"/>
        </w:rPr>
        <w:t xml:space="preserve">[[@Bible:Re 4:5]] </w:t>
      </w:r>
      <w:r>
        <w:rPr>
          <w:sz w:val="22"/>
          <w:szCs w:val="22"/>
          <w:b w:val="1"/>
          <w:bCs w:val="1"/>
          <w:vertAlign w:val="superscript"/>
        </w:rPr>
        <w:t xml:space="preserve">5  </w:t>
      </w:r>
      <w:r>
        <w:rPr/>
        <w:t xml:space="preserve">And out of the throne proceeded </w:t>
      </w:r>
      <w:r>
        <w:rPr>
          <w:b w:val="1"/>
          <w:bCs w:val="1"/>
        </w:rPr>
        <w:t xml:space="preserve">lightnings and voices and thunders</w:t>
      </w:r>
      <w:r>
        <w:rPr/>
        <w:t xml:space="preserve"> </w:t>
      </w:r>
      <w:r>
        <w:rPr>
          <w:rStyle w:val="FootnoteReference"/>
        </w:rPr>
        <w:footnoteReference w:id="163"/>
      </w:r>
      <w:r>
        <w:rPr/>
        <w:t xml:space="preserve">: and there were </w:t>
      </w:r>
      <w:r>
        <w:rPr>
          <w:b w:val="1"/>
          <w:bCs w:val="1"/>
        </w:rPr>
        <w:t xml:space="preserve">seven lamps of fire burning before the throne, which are the seven Spirits of God</w:t>
      </w:r>
      <w:r>
        <w:rPr/>
        <w:t xml:space="preserve"> </w:t>
      </w:r>
      <w:r>
        <w:rPr>
          <w:rStyle w:val="FootnoteReference"/>
        </w:rPr>
        <w:footnoteReference w:id="164"/>
      </w:r>
      <w:r>
        <w:rPr/>
        <w:t xml:space="preserve">. </w:t>
      </w:r>
      <w:r>
        <w:rPr>
          <w:rStyle w:val="FootnoteReference"/>
        </w:rPr>
        <w:footnoteReference w:id="165"/>
      </w:r>
    </w:p>
    <w:p>
      <w:pPr>
        <w:jc w:val="left"/>
        <w:ind w:left="360" w:right="0" w:firstLine="0" w:hanging="0"/>
        <w:spacing w:after="60"/>
      </w:pPr>
      <w:r>
        <w:rPr>
          <w:sz w:val="18"/>
          <w:szCs w:val="18"/>
          <w:i w:val="1"/>
          <w:iCs w:val="1"/>
        </w:rPr>
        <w:t xml:space="preserve">[fn] From λάμπω "to shine", λαμπάς = a torch, a blazing fire-lamp, a carried flame, not a stand; used for bright, fiery illumination.</w:t>
      </w:r>
    </w:p>
    <w:p>
      <w:pPr>
        <w:spacing w:after="150"/>
      </w:pPr>
      <w:r>
        <w:rPr/>
        <w:t xml:space="preserve"/>
      </w:r>
    </w:p>
    <w:p>
      <w:pPr>
        <w:pStyle w:val="Heading3"/>
      </w:pPr>
      <w:bookmarkStart w:id="19" w:name="_Toc19"/>
      <w:r>
        <w:t>Sea of Glass</w:t>
      </w:r>
      <w:bookmarkEnd w:id="19"/>
    </w:p>
    <w:p>
      <w:pPr>
        <w:pStyle w:val="SectionBody"/>
      </w:pPr>
      <w:r>
        <w:rPr>
          <w:b w:val="1"/>
          <w:bCs w:val="1"/>
        </w:rPr>
        <w:t xml:space="preserve">Important Note:</w:t>
      </w:r>
      <w:r>
        <w:rPr/>
        <w:t xml:space="preserve"> When we hear the word sea, we usually imagine a vast ocean, turbulent waters, chaos, and depth. But that is not what appears here. Instead, the "sea of glass" with its proximity to the heavenly temple seems closer in concept to the earthly temple's Molten Sea described in 2 Chronicles 4:2-6. But, passages like Exodus 24:10, "And they saw the God of Israel: and there was under his feet as it were a paved work of a sapphire stone, and as it were the body of heaven in his clearness.", may push some readers toward understanding the sea of glass as a kind of pavement or platform. Yet Exodus never speaks of a sea at all; it speaks of a paved work. That makes it difficult to identify Revelation's imagery by symbols alone at this stage. It is not until Revelation 15 that we are given clearer detail about how the sea of glass actually functions, allowing the picture to come into sharper focus. And, of course, it remains possible that the sea of glass, or "glassy sea", is not meant to be fully resolved. Some aspects may intentionally remain mysterious.</w:t>
      </w:r>
    </w:p>
    <w:p>
      <w:pPr>
        <w:spacing w:after="150"/>
      </w:pPr>
      <w:r>
        <w:rPr/>
        <w:t xml:space="preserve"/>
      </w:r>
    </w:p>
    <w:p>
      <w:pPr>
        <w:pStyle w:val="BodyVerse"/>
      </w:pPr>
      <w:r>
        <w:rPr>
          <w:b w:val="1"/>
          <w:bCs w:val="1"/>
        </w:rPr>
        <w:t xml:space="preserve">[[@Bible:Re 4:6]] </w:t>
      </w:r>
      <w:r>
        <w:rPr>
          <w:sz w:val="22"/>
          <w:szCs w:val="22"/>
          <w:b w:val="1"/>
          <w:bCs w:val="1"/>
          <w:vertAlign w:val="superscript"/>
        </w:rPr>
        <w:t xml:space="preserve">6  </w:t>
      </w:r>
      <w:r>
        <w:rPr/>
        <w:t xml:space="preserve">And before the throne there was a </w:t>
      </w:r>
      <w:r>
        <w:rPr>
          <w:b w:val="1"/>
          <w:bCs w:val="1"/>
        </w:rPr>
        <w:t xml:space="preserve">sea of glass like unto crystal</w:t>
      </w:r>
      <w:r>
        <w:rPr/>
        <w:t xml:space="preserve"> </w:t>
      </w:r>
      <w:r>
        <w:rPr>
          <w:rStyle w:val="FootnoteReference"/>
        </w:rPr>
        <w:footnoteReference w:id="166"/>
      </w:r>
      <w:r>
        <w:rPr/>
        <w:t xml:space="preserve">: and in the midst of the throne, and round about the throne, were four </w:t>
      </w:r>
      <w:r>
        <w:rPr>
          <w:b w:val="1"/>
          <w:bCs w:val="1"/>
        </w:rPr>
        <w:t xml:space="preserve">beasts full of eyes before and behind</w:t>
      </w:r>
      <w:r>
        <w:rPr/>
        <w:t xml:space="preserve"> </w:t>
      </w:r>
      <w:r>
        <w:rPr>
          <w:rStyle w:val="FootnoteReference"/>
        </w:rPr>
        <w:footnoteReference w:id="167"/>
      </w:r>
      <w:r>
        <w:rPr/>
        <w:t xml:space="preserve">.</w:t>
      </w:r>
    </w:p>
    <w:p>
      <w:pPr>
        <w:pStyle w:val="BodyVerse"/>
      </w:pPr>
      <w:r>
        <w:rPr>
          <w:b w:val="1"/>
          <w:bCs w:val="1"/>
        </w:rPr>
        <w:t xml:space="preserve">[[@Bible:Re 4:7]] </w:t>
      </w:r>
      <w:r>
        <w:rPr>
          <w:sz w:val="22"/>
          <w:szCs w:val="22"/>
          <w:b w:val="1"/>
          <w:bCs w:val="1"/>
          <w:vertAlign w:val="superscript"/>
        </w:rPr>
        <w:t xml:space="preserve">7  </w:t>
      </w:r>
      <w:r>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2"/>
          <w:szCs w:val="22"/>
          <w:b w:val="1"/>
          <w:bCs w:val="1"/>
          <w:vertAlign w:val="superscript"/>
        </w:rPr>
        <w:t xml:space="preserve">8  </w:t>
      </w:r>
      <w:r>
        <w:rPr/>
        <w:t xml:space="preserve">And the four </w:t>
      </w:r>
      <w:r>
        <w:rPr>
          <w:b w:val="1"/>
          <w:bCs w:val="1"/>
        </w:rPr>
        <w:t xml:space="preserve">beasts</w:t>
      </w:r>
      <w:r>
        <w:rPr/>
        <w:t xml:space="preserve"> </w:t>
      </w:r>
      <w:r>
        <w:rPr>
          <w:rStyle w:val="FootnoteReference"/>
        </w:rPr>
        <w:footnoteReference w:id="168"/>
      </w:r>
      <w:r>
        <w:rPr/>
        <w:t xml:space="preserve"> had each of them six wings; around and within they were full of eyes: and they rest not day and night, saying, </w:t>
      </w:r>
      <w:r>
        <w:rPr>
          <w:b w:val="1"/>
          <w:bCs w:val="1"/>
        </w:rPr>
        <w:t xml:space="preserve">Holy, holy, holy</w:t>
      </w:r>
      <w:r>
        <w:rPr/>
        <w:t xml:space="preserve"> </w:t>
      </w:r>
      <w:r>
        <w:rPr>
          <w:rStyle w:val="FootnoteReference"/>
        </w:rPr>
        <w:footnoteReference w:id="169"/>
      </w:r>
      <w:r>
        <w:rPr/>
        <w:t xml:space="preserve">, Lord God </w:t>
      </w:r>
      <w:r>
        <w:rPr>
          <w:b w:val="1"/>
          <w:bCs w:val="1"/>
        </w:rPr>
        <w:t xml:space="preserve">Almighty, who was and is and is to come</w:t>
      </w:r>
      <w:r>
        <w:rPr/>
        <w:t xml:space="preserve"> </w:t>
      </w:r>
      <w:r>
        <w:rPr>
          <w:rStyle w:val="FootnoteReference"/>
        </w:rPr>
        <w:footnoteReference w:id="170"/>
      </w:r>
      <w:r>
        <w:rPr/>
        <w:t xml:space="preserve">.</w:t>
      </w:r>
    </w:p>
    <w:p>
      <w:pPr>
        <w:pStyle w:val="BodyVerse"/>
      </w:pPr>
      <w:r>
        <w:rPr>
          <w:b w:val="1"/>
          <w:bCs w:val="1"/>
        </w:rPr>
        <w:t xml:space="preserve">[[@Bible:Re 4:9]] </w:t>
      </w:r>
      <w:r>
        <w:rPr>
          <w:sz w:val="22"/>
          <w:szCs w:val="22"/>
          <w:b w:val="1"/>
          <w:bCs w:val="1"/>
          <w:vertAlign w:val="superscript"/>
        </w:rPr>
        <w:t xml:space="preserve">9  </w:t>
      </w:r>
      <w:r>
        <w:rPr/>
        <w:t xml:space="preserve">And when those </w:t>
      </w:r>
      <w:r>
        <w:rPr>
          <w:b w:val="1"/>
          <w:bCs w:val="1"/>
        </w:rPr>
        <w:t xml:space="preserve">beasts</w:t>
      </w:r>
      <w:r>
        <w:rPr/>
        <w:t xml:space="preserve"> </w:t>
      </w:r>
      <w:r>
        <w:rPr>
          <w:rStyle w:val="FootnoteReference"/>
        </w:rPr>
        <w:footnoteReference w:id="171"/>
      </w:r>
      <w:r>
        <w:rPr/>
        <w:t xml:space="preserve"> give glory and honor and thanks to him who sat on the throne, who </w:t>
      </w:r>
      <w:r>
        <w:rPr>
          <w:b w:val="1"/>
          <w:bCs w:val="1"/>
        </w:rPr>
        <w:t xml:space="preserve">lives forever and ever</w:t>
      </w:r>
      <w:r>
        <w:rPr/>
        <w:t xml:space="preserve"> </w:t>
      </w:r>
      <w:r>
        <w:rPr>
          <w:rStyle w:val="FootnoteReference"/>
        </w:rPr>
        <w:footnoteReference w:id="172"/>
      </w:r>
      <w:r>
        <w:rPr/>
        <w:t xml:space="preserve">,</w:t>
      </w:r>
    </w:p>
    <w:p>
      <w:pPr>
        <w:pStyle w:val="BodyVerse"/>
      </w:pPr>
      <w:r>
        <w:rPr>
          <w:b w:val="1"/>
          <w:bCs w:val="1"/>
        </w:rPr>
        <w:t xml:space="preserve">[[@Bible:Re 4:10]] </w:t>
      </w:r>
      <w:r>
        <w:rPr>
          <w:sz w:val="22"/>
          <w:szCs w:val="22"/>
          <w:b w:val="1"/>
          <w:bCs w:val="1"/>
          <w:vertAlign w:val="superscript"/>
        </w:rPr>
        <w:t xml:space="preserve">10  </w:t>
      </w:r>
      <w:r>
        <w:rPr/>
        <w:t xml:space="preserve">The four and twenty </w:t>
      </w:r>
      <w:r>
        <w:rPr>
          <w:b w:val="1"/>
          <w:bCs w:val="1"/>
        </w:rPr>
        <w:t xml:space="preserve">elders</w:t>
      </w:r>
      <w:r>
        <w:rPr/>
        <w:t xml:space="preserve"> </w:t>
      </w:r>
      <w:r>
        <w:rPr>
          <w:rStyle w:val="FootnoteReference"/>
        </w:rPr>
        <w:footnoteReference w:id="173"/>
      </w:r>
      <w:r>
        <w:rPr/>
        <w:t xml:space="preserve"> fall down before him who sat on the throne, and worship him who </w:t>
      </w:r>
      <w:r>
        <w:rPr>
          <w:b w:val="1"/>
          <w:bCs w:val="1"/>
        </w:rPr>
        <w:t xml:space="preserve">lives forever and ever</w:t>
      </w:r>
      <w:r>
        <w:rPr/>
        <w:t xml:space="preserve"> </w:t>
      </w:r>
      <w:r>
        <w:rPr>
          <w:rStyle w:val="FootnoteReference"/>
        </w:rPr>
        <w:footnoteReference w:id="174"/>
      </w:r>
      <w:r>
        <w:rPr/>
        <w:t xml:space="preserve">, and cast their </w:t>
      </w:r>
      <w:r>
        <w:rPr>
          <w:b w:val="1"/>
          <w:bCs w:val="1"/>
        </w:rPr>
        <w:t xml:space="preserve">crowns</w:t>
      </w:r>
      <w:r>
        <w:rPr/>
        <w:t xml:space="preserve"> </w:t>
      </w:r>
      <w:r>
        <w:rPr>
          <w:rStyle w:val="FootnoteReference"/>
        </w:rPr>
        <w:footnoteReference w:id="175"/>
      </w:r>
      <w:r>
        <w:rPr/>
        <w:t xml:space="preserve"> before the throne, saying,</w:t>
      </w:r>
    </w:p>
    <w:p>
      <w:pPr>
        <w:pStyle w:val="BodyVerse"/>
      </w:pPr>
      <w:r>
        <w:rPr>
          <w:b w:val="1"/>
          <w:bCs w:val="1"/>
        </w:rPr>
        <w:t xml:space="preserve">[[@Bible:Re 4:11]] </w:t>
      </w:r>
      <w:r>
        <w:rPr>
          <w:sz w:val="22"/>
          <w:szCs w:val="22"/>
          <w:b w:val="1"/>
          <w:bCs w:val="1"/>
          <w:vertAlign w:val="superscript"/>
        </w:rPr>
        <w:t xml:space="preserve">11  </w:t>
      </w:r>
      <w:r>
        <w:rPr/>
        <w:t xml:space="preserve">You are worthy, O Lord, to receive glory and honor and might: for you have </w:t>
      </w:r>
      <w:r>
        <w:rPr>
          <w:b w:val="1"/>
          <w:bCs w:val="1"/>
        </w:rPr>
        <w:t xml:space="preserve">created all things, and by thy will they are and were created</w:t>
      </w:r>
      <w:r>
        <w:rPr/>
        <w:t xml:space="preserve"> </w:t>
      </w:r>
      <w:r>
        <w:rPr>
          <w:rStyle w:val="FootnoteReference"/>
        </w:rPr>
        <w:footnoteReference w:id="176"/>
      </w:r>
      <w:r>
        <w:rPr/>
        <w:t xml:space="preserve">.</w:t>
      </w:r>
    </w:p>
    <w:p>
      <w:pPr>
        <w:jc w:val="center"/>
        <w:spacing w:before="120" w:after="60"/>
      </w:pPr>
      <w:r>
        <w:rPr>
          <w:sz w:val="36"/>
          <w:szCs w:val="36"/>
          <w:b w:val="1"/>
          <w:bCs w:val="1"/>
        </w:rPr>
        <w:t xml:space="preserve">✶</w:t>
      </w:r>
    </w:p>
    <w:p>
      <w:pPr>
        <w:pStyle w:val="Heading2"/>
      </w:pPr>
      <w:bookmarkStart w:id="20" w:name="_Toc20"/>
      <w:r>
        <w:t>The Book with Seven Seals</w:t>
      </w:r>
      <w:bookmarkEnd w:id="20"/>
    </w:p>
    <w:p>
      <w:pPr>
        <w:pStyle w:val="SectionBody"/>
      </w:pPr>
      <w:r>
        <w:rPr>
          <w:b w:val="1"/>
          <w:bCs w:val="1"/>
        </w:rPr>
        <w:t xml:space="preserve">Important Note:</w:t>
      </w:r>
      <w:r>
        <w:rPr/>
        <w:t xml:space="preserve"> The sealed book here is given to the Lion of the tribe of Judah, and he then opens it. Then in Revelation ten, we see Jesus again with the voice of a Lion with an open book. That book in Revelation 10 is not the same book as this sealed one.</w:t>
      </w:r>
    </w:p>
    <w:p>
      <w:pPr>
        <w:spacing w:after="150"/>
      </w:pPr>
      <w:r>
        <w:rPr/>
        <w:t xml:space="preserve"/>
      </w:r>
    </w:p>
    <w:p>
      <w:pPr>
        <w:pStyle w:val="BodyVerse"/>
      </w:pPr>
      <w:r>
        <w:rPr>
          <w:b w:val="1"/>
          <w:bCs w:val="1"/>
        </w:rPr>
        <w:t xml:space="preserve">[[@Bible:Re 5:1]] </w:t>
      </w:r>
      <w:r>
        <w:rPr>
          <w:sz w:val="22"/>
          <w:szCs w:val="22"/>
          <w:b w:val="1"/>
          <w:bCs w:val="1"/>
          <w:vertAlign w:val="superscript"/>
        </w:rPr>
        <w:t xml:space="preserve">1  </w:t>
      </w:r>
      <w:r>
        <w:rPr/>
        <w:t xml:space="preserve">And I saw in the </w:t>
      </w:r>
      <w:r>
        <w:rPr>
          <w:b w:val="1"/>
          <w:bCs w:val="1"/>
        </w:rPr>
        <w:t xml:space="preserve">right hand</w:t>
      </w:r>
      <w:r>
        <w:rPr/>
        <w:t xml:space="preserve"> </w:t>
      </w:r>
      <w:r>
        <w:rPr>
          <w:rStyle w:val="FootnoteReference"/>
        </w:rPr>
        <w:footnoteReference w:id="177"/>
      </w:r>
      <w:r>
        <w:rPr/>
        <w:t xml:space="preserve"> of him that sat on the throne a </w:t>
      </w:r>
      <w:r>
        <w:rPr>
          <w:b w:val="1"/>
          <w:bCs w:val="1"/>
        </w:rPr>
        <w:t xml:space="preserve">book</w:t>
      </w:r>
      <w:r>
        <w:rPr/>
        <w:t xml:space="preserve"> </w:t>
      </w:r>
      <w:r>
        <w:rPr>
          <w:rStyle w:val="FootnoteReference"/>
        </w:rPr>
        <w:footnoteReference w:id="178"/>
      </w:r>
      <w:r>
        <w:rPr/>
        <w:t xml:space="preserve"> written within and on the backside, sealed with seven </w:t>
      </w:r>
      <w:r>
        <w:rPr>
          <w:b w:val="1"/>
          <w:bCs w:val="1"/>
        </w:rPr>
        <w:t xml:space="preserve">seals</w:t>
      </w:r>
      <w:r>
        <w:rPr/>
        <w:t xml:space="preserve"> </w:t>
      </w:r>
      <w:r>
        <w:rPr>
          <w:rStyle w:val="FootnoteReference"/>
        </w:rPr>
        <w:footnoteReference w:id="179"/>
      </w:r>
      <w:r>
        <w:rPr/>
        <w:t xml:space="preserve">.</w:t>
      </w:r>
    </w:p>
    <w:p>
      <w:pPr>
        <w:pStyle w:val="BodyVerse"/>
      </w:pPr>
      <w:r>
        <w:rPr>
          <w:b w:val="1"/>
          <w:bCs w:val="1"/>
        </w:rPr>
        <w:t xml:space="preserve">[[@Bible:Re 5:2]] </w:t>
      </w:r>
      <w:r>
        <w:rPr>
          <w:sz w:val="22"/>
          <w:szCs w:val="22"/>
          <w:b w:val="1"/>
          <w:bCs w:val="1"/>
          <w:vertAlign w:val="superscript"/>
        </w:rPr>
        <w:t xml:space="preserve">2  </w:t>
      </w:r>
      <w:r>
        <w:rPr/>
        <w:t xml:space="preserve">And I saw a strong messenger proclaiming with a great voice, Who is worthy to open the </w:t>
      </w:r>
      <w:r>
        <w:rPr>
          <w:b w:val="1"/>
          <w:bCs w:val="1"/>
        </w:rPr>
        <w:t xml:space="preserve">book</w:t>
      </w:r>
      <w:r>
        <w:rPr/>
        <w:t xml:space="preserve"> </w:t>
      </w:r>
      <w:r>
        <w:rPr>
          <w:rStyle w:val="FootnoteReference"/>
        </w:rPr>
        <w:footnoteReference w:id="180"/>
      </w:r>
      <w:r>
        <w:rPr/>
        <w:t xml:space="preserve">, and to loose the seals thereof?</w:t>
      </w:r>
    </w:p>
    <w:p>
      <w:pPr>
        <w:pStyle w:val="BodyVerse"/>
      </w:pPr>
      <w:r>
        <w:rPr>
          <w:b w:val="1"/>
          <w:bCs w:val="1"/>
        </w:rPr>
        <w:t xml:space="preserve">[[@Bible:Re 5:3]] </w:t>
      </w:r>
      <w:r>
        <w:rPr>
          <w:sz w:val="22"/>
          <w:szCs w:val="22"/>
          <w:b w:val="1"/>
          <w:bCs w:val="1"/>
          <w:vertAlign w:val="superscript"/>
        </w:rPr>
        <w:t xml:space="preserve">3  </w:t>
      </w:r>
      <w:r>
        <w:rPr/>
        <w:t xml:space="preserve">And none in heaven, nor in earth, neither under the earth, was able to open the </w:t>
      </w:r>
      <w:r>
        <w:rPr>
          <w:b w:val="1"/>
          <w:bCs w:val="1"/>
        </w:rPr>
        <w:t xml:space="preserve">book</w:t>
      </w:r>
      <w:r>
        <w:rPr/>
        <w:t xml:space="preserve"> </w:t>
      </w:r>
      <w:r>
        <w:rPr>
          <w:rStyle w:val="FootnoteReference"/>
        </w:rPr>
        <w:footnoteReference w:id="181"/>
      </w:r>
      <w:r>
        <w:rPr/>
        <w:t xml:space="preserve">, neither to look into it.</w:t>
      </w:r>
    </w:p>
    <w:p>
      <w:pPr>
        <w:pStyle w:val="BodyVerse"/>
      </w:pPr>
      <w:r>
        <w:rPr>
          <w:b w:val="1"/>
          <w:bCs w:val="1"/>
        </w:rPr>
        <w:t xml:space="preserve">[[@Bible:Re 5:4]] </w:t>
      </w:r>
      <w:r>
        <w:rPr>
          <w:sz w:val="22"/>
          <w:szCs w:val="22"/>
          <w:b w:val="1"/>
          <w:bCs w:val="1"/>
          <w:vertAlign w:val="superscript"/>
        </w:rPr>
        <w:t xml:space="preserve">4  </w:t>
      </w:r>
      <w:r>
        <w:rPr/>
        <w:t xml:space="preserve">And I wept much, because none was found worthy to open </w:t>
      </w:r>
      <w:r>
        <w:rPr/>
        <w:t xml:space="preserve"> the </w:t>
      </w:r>
      <w:r>
        <w:rPr>
          <w:b w:val="1"/>
          <w:bCs w:val="1"/>
        </w:rPr>
        <w:t xml:space="preserve">book</w:t>
      </w:r>
      <w:r>
        <w:rPr/>
        <w:t xml:space="preserve"> </w:t>
      </w:r>
      <w:r>
        <w:rPr>
          <w:rStyle w:val="FootnoteReference"/>
        </w:rPr>
        <w:footnoteReference w:id="182"/>
      </w:r>
      <w:r>
        <w:rPr/>
        <w:t xml:space="preserve">, neither to look into it.</w:t>
      </w:r>
    </w:p>
    <w:p>
      <w:pPr>
        <w:pStyle w:val="BodyVerse"/>
      </w:pPr>
      <w:r>
        <w:rPr>
          <w:b w:val="1"/>
          <w:bCs w:val="1"/>
        </w:rPr>
        <w:t xml:space="preserve">[[@Bible:Re 5:5]] </w:t>
      </w:r>
      <w:r>
        <w:rPr>
          <w:sz w:val="22"/>
          <w:szCs w:val="22"/>
          <w:b w:val="1"/>
          <w:bCs w:val="1"/>
          <w:vertAlign w:val="superscript"/>
        </w:rPr>
        <w:t xml:space="preserve">5  </w:t>
      </w:r>
      <w:r>
        <w:rPr/>
        <w:t xml:space="preserve">And one of the </w:t>
      </w:r>
      <w:r>
        <w:rPr>
          <w:b w:val="1"/>
          <w:bCs w:val="1"/>
        </w:rPr>
        <w:t xml:space="preserve">elders</w:t>
      </w:r>
      <w:r>
        <w:rPr/>
        <w:t xml:space="preserve"> said unto me </w:t>
      </w:r>
      <w:r>
        <w:rPr>
          <w:rStyle w:val="FootnoteReference"/>
        </w:rPr>
        <w:footnoteReference w:id="183"/>
      </w:r>
      <w:r>
        <w:rPr/>
        <w:t xml:space="preserve">, Weep not: behold, the </w:t>
      </w:r>
      <w:r>
        <w:rPr>
          <w:b w:val="1"/>
          <w:bCs w:val="1"/>
        </w:rPr>
        <w:t xml:space="preserve">Lion</w:t>
      </w:r>
      <w:r>
        <w:rPr/>
        <w:t xml:space="preserve"> </w:t>
      </w:r>
      <w:r>
        <w:rPr>
          <w:rStyle w:val="FootnoteReference"/>
        </w:rPr>
        <w:footnoteReference w:id="184"/>
      </w:r>
      <w:r>
        <w:rPr/>
        <w:t xml:space="preserve"> of the tribe of Judah, the </w:t>
      </w:r>
      <w:r>
        <w:rPr>
          <w:b w:val="1"/>
          <w:bCs w:val="1"/>
        </w:rPr>
        <w:t xml:space="preserve">Root of David</w:t>
      </w:r>
      <w:r>
        <w:rPr/>
        <w:t xml:space="preserve"> </w:t>
      </w:r>
      <w:r>
        <w:rPr>
          <w:rStyle w:val="FootnoteReference"/>
        </w:rPr>
        <w:footnoteReference w:id="185"/>
      </w:r>
      <w:r>
        <w:rPr/>
        <w:t xml:space="preserve">, has prevailed so as to open the </w:t>
      </w:r>
      <w:r>
        <w:rPr>
          <w:b w:val="1"/>
          <w:bCs w:val="1"/>
        </w:rPr>
        <w:t xml:space="preserve">book</w:t>
      </w:r>
      <w:r>
        <w:rPr/>
        <w:t xml:space="preserve"> </w:t>
      </w:r>
      <w:r>
        <w:rPr>
          <w:rStyle w:val="FootnoteReference"/>
        </w:rPr>
        <w:footnoteReference w:id="186"/>
      </w:r>
      <w:r>
        <w:rPr/>
        <w:t xml:space="preserve">, and to open the seven seals thereof.</w:t>
      </w:r>
    </w:p>
    <w:p>
      <w:pPr>
        <w:spacing w:after="150"/>
      </w:pPr>
      <w:r>
        <w:rPr/>
        <w:t xml:space="preserve"/>
      </w:r>
    </w:p>
    <w:p>
      <w:pPr>
        <w:pStyle w:val="Heading3"/>
      </w:pPr>
      <w:bookmarkStart w:id="21" w:name="_Toc21"/>
      <w:r>
        <w:t>Slain Lamb: Seven Horns and Eyes are The Seven Spirits of God</w:t>
      </w:r>
      <w:bookmarkEnd w:id="21"/>
    </w:p>
    <w:p>
      <w:pPr>
        <w:pStyle w:val="SectionBody"/>
      </w:pPr>
      <w:r>
        <w:rPr>
          <w:b w:val="1"/>
          <w:bCs w:val="1"/>
        </w:rPr>
        <w:t xml:space="preserve">Important Note:</w:t>
      </w:r>
      <w:r>
        <w:rPr/>
        <w:t xml:space="preserve"> Keep an eye on "midst of the throne" or "around". We will see the key figures that appear there. The four beasts, 24 elders, the Lamb, and the saints as the great multitude with harps.</w:t>
      </w:r>
    </w:p>
    <w:p>
      <w:pPr>
        <w:spacing w:after="150"/>
      </w:pPr>
      <w:r>
        <w:rPr/>
        <w:t xml:space="preserve"/>
      </w:r>
    </w:p>
    <w:p>
      <w:pPr>
        <w:pStyle w:val="BodyVerse"/>
      </w:pPr>
      <w:r>
        <w:rPr>
          <w:b w:val="1"/>
          <w:bCs w:val="1"/>
        </w:rPr>
        <w:t xml:space="preserve">[[@Bible:Re 5:6]] </w:t>
      </w:r>
      <w:r>
        <w:rPr>
          <w:sz w:val="22"/>
          <w:szCs w:val="22"/>
          <w:b w:val="1"/>
          <w:bCs w:val="1"/>
          <w:vertAlign w:val="superscript"/>
        </w:rPr>
        <w:t xml:space="preserve">6  </w:t>
      </w:r>
      <w:r>
        <w:rPr/>
        <w:t xml:space="preserve">And I beheld, </w:t>
      </w:r>
      <w:r>
        <w:rPr/>
        <w:t xml:space="preserve"> in the midst of the throne and of the four </w:t>
      </w:r>
      <w:r>
        <w:rPr>
          <w:b w:val="1"/>
          <w:bCs w:val="1"/>
        </w:rPr>
        <w:t xml:space="preserve">beasts</w:t>
      </w:r>
      <w:r>
        <w:rPr/>
        <w:t xml:space="preserve"> </w:t>
      </w:r>
      <w:r>
        <w:rPr>
          <w:rStyle w:val="FootnoteReference"/>
        </w:rPr>
        <w:footnoteReference w:id="187"/>
      </w:r>
      <w:r>
        <w:rPr/>
        <w:t xml:space="preserve">, and in the midst of the </w:t>
      </w:r>
      <w:r>
        <w:rPr>
          <w:b w:val="1"/>
          <w:bCs w:val="1"/>
        </w:rPr>
        <w:t xml:space="preserve">elders</w:t>
      </w:r>
      <w:r>
        <w:rPr/>
        <w:t xml:space="preserve"> </w:t>
      </w:r>
      <w:r>
        <w:rPr>
          <w:rStyle w:val="FootnoteReference"/>
        </w:rPr>
        <w:footnoteReference w:id="188"/>
      </w:r>
      <w:r>
        <w:rPr/>
        <w:t xml:space="preserve">, stood a Lamb as it had been </w:t>
      </w:r>
      <w:r>
        <w:rPr>
          <w:b w:val="1"/>
          <w:bCs w:val="1"/>
        </w:rPr>
        <w:t xml:space="preserve">slain</w:t>
      </w:r>
      <w:r>
        <w:rPr/>
        <w:t xml:space="preserve"> </w:t>
      </w:r>
      <w:r>
        <w:rPr>
          <w:rStyle w:val="FootnoteReference"/>
        </w:rPr>
        <w:footnoteReference w:id="189"/>
      </w:r>
      <w:r>
        <w:rPr/>
        <w:t xml:space="preserve">, having seven horns and seven eyes, which are the </w:t>
      </w:r>
      <w:r>
        <w:rPr>
          <w:b w:val="1"/>
          <w:bCs w:val="1"/>
        </w:rPr>
        <w:t xml:space="preserve">seven Spirits of God</w:t>
      </w:r>
      <w:r>
        <w:rPr/>
        <w:t xml:space="preserve"> sent forth into all the earth </w:t>
      </w:r>
      <w:r>
        <w:rPr>
          <w:rStyle w:val="FootnoteReference"/>
        </w:rPr>
        <w:footnoteReference w:id="190"/>
      </w:r>
      <w:r>
        <w:rPr/>
        <w:t xml:space="preserve">.</w:t>
      </w:r>
    </w:p>
    <w:p>
      <w:pPr>
        <w:pStyle w:val="BodyVerse"/>
      </w:pPr>
      <w:r>
        <w:rPr>
          <w:b w:val="1"/>
          <w:bCs w:val="1"/>
        </w:rPr>
        <w:t xml:space="preserve">[[@Bible:Re 5:7]] </w:t>
      </w:r>
      <w:r>
        <w:rPr>
          <w:sz w:val="22"/>
          <w:szCs w:val="22"/>
          <w:b w:val="1"/>
          <w:bCs w:val="1"/>
          <w:vertAlign w:val="superscript"/>
        </w:rPr>
        <w:t xml:space="preserve">7  </w:t>
      </w:r>
      <w:r>
        <w:rPr/>
        <w:t xml:space="preserve">And he came and took the book out of the </w:t>
      </w:r>
      <w:r>
        <w:rPr>
          <w:b w:val="1"/>
          <w:bCs w:val="1"/>
        </w:rPr>
        <w:t xml:space="preserve">right hand</w:t>
      </w:r>
      <w:r>
        <w:rPr/>
        <w:t xml:space="preserve"> </w:t>
      </w:r>
      <w:r>
        <w:rPr>
          <w:rStyle w:val="FootnoteReference"/>
        </w:rPr>
        <w:footnoteReference w:id="191"/>
      </w:r>
      <w:r>
        <w:rPr/>
        <w:t xml:space="preserve"> of him that sat upon the throne.</w:t>
      </w:r>
    </w:p>
    <w:p>
      <w:pPr>
        <w:spacing w:after="150"/>
      </w:pPr>
      <w:r>
        <w:rPr/>
        <w:t xml:space="preserve"/>
      </w:r>
    </w:p>
    <w:p>
      <w:pPr>
        <w:pStyle w:val="Heading3"/>
      </w:pPr>
      <w:bookmarkStart w:id="22" w:name="_Toc22"/>
      <w:r>
        <w:t>Harpers' New Song: 24 Elders and 4 Beasts</w:t>
      </w:r>
      <w:bookmarkEnd w:id="22"/>
    </w:p>
    <w:p>
      <w:pPr>
        <w:pStyle w:val="BodyVerse"/>
      </w:pPr>
      <w:r>
        <w:rPr>
          <w:b w:val="1"/>
          <w:bCs w:val="1"/>
        </w:rPr>
        <w:t xml:space="preserve">[[@Bible:Re 5:8]] </w:t>
      </w:r>
      <w:r>
        <w:rPr>
          <w:sz w:val="22"/>
          <w:szCs w:val="22"/>
          <w:b w:val="1"/>
          <w:bCs w:val="1"/>
          <w:vertAlign w:val="superscript"/>
        </w:rPr>
        <w:t xml:space="preserve">8  </w:t>
      </w:r>
      <w:r>
        <w:rPr/>
        <w:t xml:space="preserve">And when he had taken the </w:t>
      </w:r>
      <w:r>
        <w:rPr>
          <w:b w:val="1"/>
          <w:bCs w:val="1"/>
        </w:rPr>
        <w:t xml:space="preserve">book</w:t>
      </w:r>
      <w:r>
        <w:rPr/>
        <w:t xml:space="preserve"> </w:t>
      </w:r>
      <w:r>
        <w:rPr>
          <w:rStyle w:val="FootnoteReference"/>
        </w:rPr>
        <w:footnoteReference w:id="192"/>
      </w:r>
      <w:r>
        <w:rPr/>
        <w:t xml:space="preserve">, the four </w:t>
      </w:r>
      <w:r>
        <w:rPr>
          <w:b w:val="1"/>
          <w:bCs w:val="1"/>
        </w:rPr>
        <w:t xml:space="preserve">beasts</w:t>
      </w:r>
      <w:r>
        <w:rPr/>
        <w:t xml:space="preserve"> </w:t>
      </w:r>
      <w:r>
        <w:rPr>
          <w:rStyle w:val="FootnoteReference"/>
        </w:rPr>
        <w:footnoteReference w:id="193"/>
      </w:r>
      <w:r>
        <w:rPr/>
        <w:t xml:space="preserve"> and four and twenty </w:t>
      </w:r>
      <w:r>
        <w:rPr>
          <w:b w:val="1"/>
          <w:bCs w:val="1"/>
        </w:rPr>
        <w:t xml:space="preserve">elders</w:t>
      </w:r>
      <w:r>
        <w:rPr/>
        <w:t xml:space="preserve"> </w:t>
      </w:r>
      <w:r>
        <w:rPr>
          <w:rStyle w:val="FootnoteReference"/>
        </w:rPr>
        <w:footnoteReference w:id="194"/>
      </w:r>
      <w:r>
        <w:rPr/>
        <w:t xml:space="preserve"> fell down before the Lamb, having every one of them </w:t>
      </w:r>
      <w:r>
        <w:rPr>
          <w:b w:val="1"/>
          <w:bCs w:val="1"/>
        </w:rPr>
        <w:t xml:space="preserve">harps</w:t>
      </w:r>
      <w:r>
        <w:rPr/>
        <w:t xml:space="preserve"> </w:t>
      </w:r>
      <w:r>
        <w:rPr>
          <w:rStyle w:val="FootnoteReference"/>
        </w:rPr>
        <w:footnoteReference w:id="195"/>
      </w:r>
      <w:r>
        <w:rPr/>
        <w:t xml:space="preserve">, and golden vials full of odours, which are the </w:t>
      </w:r>
      <w:r>
        <w:rPr>
          <w:b w:val="1"/>
          <w:bCs w:val="1"/>
        </w:rPr>
        <w:t xml:space="preserve">prayers of saints</w:t>
      </w:r>
      <w:r>
        <w:rPr/>
        <w:t xml:space="preserve"> </w:t>
      </w:r>
      <w:r>
        <w:rPr>
          <w:rStyle w:val="FootnoteReference"/>
        </w:rPr>
        <w:footnoteReference w:id="196"/>
      </w:r>
      <w:r>
        <w:rPr/>
        <w:t xml:space="preserve">.</w:t>
      </w:r>
    </w:p>
    <w:p>
      <w:pPr>
        <w:jc w:val="left"/>
        <w:ind w:left="360" w:right="0" w:firstLine="0" w:hanging="0"/>
        <w:spacing w:after="60"/>
      </w:pPr>
      <w:r>
        <w:rPr>
          <w:sz w:val="18"/>
          <w:szCs w:val="18"/>
          <w:i w:val="1"/>
          <w:iCs w:val="1"/>
        </w:rPr>
        <w:t xml:space="preserve">[fn] Harps are not an identity marker beyond being used exclusively by those who sing. Thus, harps let us know who is singing a given song, and not much more.</w:t>
      </w:r>
    </w:p>
    <w:p>
      <w:pPr>
        <w:pStyle w:val="BodyVerse"/>
      </w:pPr>
      <w:r>
        <w:rPr>
          <w:b w:val="1"/>
          <w:bCs w:val="1"/>
        </w:rPr>
        <w:t xml:space="preserve">[[@Bible:Re 5:9]] </w:t>
      </w:r>
      <w:r>
        <w:rPr>
          <w:sz w:val="22"/>
          <w:szCs w:val="22"/>
          <w:b w:val="1"/>
          <w:bCs w:val="1"/>
          <w:vertAlign w:val="superscript"/>
        </w:rPr>
        <w:t xml:space="preserve">9  </w:t>
      </w:r>
      <w:r>
        <w:rPr/>
        <w:t xml:space="preserve">And they sung a </w:t>
      </w:r>
      <w:r>
        <w:rPr>
          <w:b w:val="1"/>
          <w:bCs w:val="1"/>
        </w:rPr>
        <w:t xml:space="preserve">new song</w:t>
      </w:r>
      <w:r>
        <w:rPr/>
        <w:t xml:space="preserve"> </w:t>
      </w:r>
      <w:r>
        <w:rPr>
          <w:color w:val="4A6FA5"/>
          <w:sz w:val="18"/>
          <w:szCs w:val="18"/>
        </w:rPr>
        <w:t xml:space="preserve"> (s</w:t>
      </w:r>
      <w:r>
        <w:rPr>
          <w:rStyle w:val="FootnoteReference"/>
        </w:rPr>
        <w:footnoteReference w:id="197"/>
      </w:r>
      <w:r>
        <w:rPr>
          <w:color w:val="4A6FA5"/>
          <w:sz w:val="18"/>
          <w:szCs w:val="18"/>
        </w:rPr>
        <w:t xml:space="preserve">) </w:t>
      </w:r>
      <w:r>
        <w:rPr/>
        <w:t xml:space="preserve">, saying, You are worthy to take the </w:t>
      </w:r>
      <w:r>
        <w:rPr>
          <w:b w:val="1"/>
          <w:bCs w:val="1"/>
        </w:rPr>
        <w:t xml:space="preserve">book</w:t>
      </w:r>
      <w:r>
        <w:rPr/>
        <w:t xml:space="preserve"> </w:t>
      </w:r>
      <w:r>
        <w:rPr>
          <w:rStyle w:val="FootnoteReference"/>
        </w:rPr>
        <w:footnoteReference w:id="198"/>
      </w:r>
      <w:r>
        <w:rPr/>
        <w:t xml:space="preserve">, and to open the seals thereof: for you were </w:t>
      </w:r>
      <w:r>
        <w:rPr>
          <w:b w:val="1"/>
          <w:bCs w:val="1"/>
        </w:rPr>
        <w:t xml:space="preserve">slain</w:t>
      </w:r>
      <w:r>
        <w:rPr/>
        <w:t xml:space="preserve"> </w:t>
      </w:r>
      <w:r>
        <w:rPr>
          <w:rStyle w:val="FootnoteReference"/>
        </w:rPr>
        <w:footnoteReference w:id="199"/>
      </w:r>
      <w:r>
        <w:rPr/>
        <w:t xml:space="preserve">, and have </w:t>
      </w:r>
      <w:r>
        <w:rPr>
          <w:b w:val="1"/>
          <w:bCs w:val="1"/>
        </w:rPr>
        <w:t xml:space="preserve">redeemed</w:t>
      </w:r>
      <w:r>
        <w:rPr/>
        <w:t xml:space="preserve"> </w:t>
      </w:r>
      <w:r>
        <w:rPr>
          <w:color w:val="4A6FA5"/>
          <w:sz w:val="18"/>
          <w:szCs w:val="18"/>
        </w:rPr>
        <w:t xml:space="preserve"> (v</w:t>
      </w:r>
      <w:r>
        <w:rPr>
          <w:rStyle w:val="FootnoteReference"/>
        </w:rPr>
        <w:footnoteReference w:id="200"/>
      </w:r>
      <w:r>
        <w:rPr>
          <w:color w:val="4A6FA5"/>
          <w:sz w:val="18"/>
          <w:szCs w:val="18"/>
        </w:rPr>
        <w:t xml:space="preserve">) </w:t>
      </w:r>
      <w:r>
        <w:rPr/>
        <w:t xml:space="preserve"> </w:t>
      </w:r>
      <w:r>
        <w:rPr>
          <w:i w:val="1"/>
          <w:iCs w:val="1"/>
        </w:rPr>
        <w:t xml:space="preserve">[people]</w:t>
      </w:r>
      <w:r>
        <w:rPr/>
        <w:t xml:space="preserve"> to God by </w:t>
      </w:r>
      <w:r>
        <w:rPr>
          <w:b w:val="1"/>
          <w:bCs w:val="1"/>
        </w:rPr>
        <w:t xml:space="preserve">thy blood</w:t>
      </w:r>
      <w:r>
        <w:rPr/>
        <w:t xml:space="preserve"> </w:t>
      </w:r>
      <w:r>
        <w:rPr>
          <w:rStyle w:val="FootnoteReference"/>
        </w:rPr>
        <w:footnoteReference w:id="201"/>
      </w:r>
      <w:r>
        <w:rPr/>
        <w:t xml:space="preserve"> out of every </w:t>
      </w:r>
      <w:r>
        <w:rPr>
          <w:b w:val="1"/>
          <w:bCs w:val="1"/>
        </w:rPr>
        <w:t xml:space="preserve">kindred, and tongue, and people, and nation</w:t>
      </w:r>
      <w:r>
        <w:rPr/>
        <w:t xml:space="preserve"> </w:t>
      </w:r>
      <w:r>
        <w:rPr>
          <w:rStyle w:val="FootnoteReference"/>
        </w:rPr>
        <w:footnoteReference w:id="202"/>
      </w:r>
      <w:r>
        <w:rPr/>
        <w:t xml:space="preserve"> </w:t>
      </w:r>
      <w:r>
        <w:rPr>
          <w:color w:val="4A6FA5"/>
          <w:sz w:val="18"/>
          <w:szCs w:val="18"/>
        </w:rPr>
        <w:t xml:space="preserve"> (im</w:t>
      </w:r>
      <w:r>
        <w:rPr>
          <w:rStyle w:val="FootnoteReference"/>
        </w:rPr>
        <w:footnoteReference w:id="20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ESV used "ransomed" instead of "redeemed", in Greek these are the same in TR and CT ηγορασας.</w:t>
      </w:r>
    </w:p>
    <w:p>
      <w:pPr>
        <w:jc w:val="left"/>
        <w:ind w:left="360" w:right="0" w:firstLine="0" w:hanging="0"/>
        <w:spacing w:after="60"/>
      </w:pPr>
      <w:r>
        <w:rPr>
          <w:sz w:val="18"/>
          <w:szCs w:val="18"/>
          <w:i w:val="1"/>
          <w:iCs w:val="1"/>
        </w:rPr>
        <w:t xml:space="preserve">[fn] In verse 9, a new song is sung about a "redeemed" (KJV) group of people, and because the 144,000 are called "redeemed" multiple times in Revelation 14, we can understand how the TR/KJV might link us back to this moment in time, where we see a song "a new song" there. The ESV, however, breaks this link slightly in English by saying "ransomed" instead of "redeemed". This is important because it suggests a shared redemptive theme between this new song and the one in Revelation 14. The two songs are not identical, as the song in Revelation 14 remains hidden and its learning is restricted, but they belong to the same redemptive category: both are Lamb-centered, both involve harps, and both are connected to the redeemed. The thematic resonance suggests that these two distant texts share a common thread.</w:t>
      </w:r>
    </w:p>
    <w:p>
      <w:pPr>
        <w:jc w:val="left"/>
        <w:ind w:left="360" w:right="0" w:firstLine="0" w:hanging="0"/>
        <w:spacing w:after="60"/>
      </w:pPr>
      <w:r>
        <w:rPr>
          <w:sz w:val="18"/>
          <w:szCs w:val="18"/>
          <w:i w:val="1"/>
          <w:iCs w:val="1"/>
        </w:rPr>
        <w:t xml:space="preserve">[fn] ωδην καινην - "new song"</w:t>
      </w:r>
    </w:p>
    <w:p>
      <w:pPr>
        <w:pStyle w:val="BodyVerse"/>
      </w:pPr>
      <w:r>
        <w:rPr>
          <w:b w:val="1"/>
          <w:bCs w:val="1"/>
        </w:rPr>
        <w:t xml:space="preserve">[[@Bible:Re 5:10]] </w:t>
      </w:r>
      <w:r>
        <w:rPr>
          <w:sz w:val="22"/>
          <w:szCs w:val="22"/>
          <w:b w:val="1"/>
          <w:bCs w:val="1"/>
          <w:vertAlign w:val="superscript"/>
        </w:rPr>
        <w:t xml:space="preserve">10  </w:t>
      </w:r>
      <w:r>
        <w:rPr/>
        <w:t xml:space="preserve">And have made them </w:t>
      </w:r>
      <w:r>
        <w:rPr>
          <w:b w:val="1"/>
          <w:bCs w:val="1"/>
        </w:rPr>
        <w:t xml:space="preserve">a kingdom and priests unto our God</w:t>
      </w:r>
      <w:r>
        <w:rPr/>
        <w:t xml:space="preserve"> </w:t>
      </w:r>
      <w:r>
        <w:rPr>
          <w:rStyle w:val="FootnoteReference"/>
        </w:rPr>
        <w:footnoteReference w:id="204"/>
      </w:r>
      <w:r>
        <w:rPr/>
        <w:t xml:space="preserve">: and they shall reign on the earth.</w:t>
      </w:r>
    </w:p>
    <w:p>
      <w:pPr>
        <w:jc w:val="left"/>
        <w:ind w:left="360" w:right="0" w:firstLine="0" w:hanging="0"/>
        <w:spacing w:after="60"/>
      </w:pPr>
      <w:r>
        <w:rPr>
          <w:sz w:val="18"/>
          <w:szCs w:val="18"/>
          <w:i w:val="1"/>
          <w:iCs w:val="1"/>
        </w:rPr>
        <w:t xml:space="preserve">[fn] In verse 10, the KJV says, "made us unto our God kings and priests," whereas the ESV says, "you have made them a kingdom and priests," which further links us to Exodus 19:6 in particular and also Daniel 7:18, Daniel 7:27, and Romans 8:17 — other textual criticism points aside. Because Revelation is deeply linked to the Old Testament, the ESV and CT seem to have the right words here. The ESV, in the case of this study, is more accurate in terms of the manuscripts here, and we should see this as not being the saints who sing it based on the manuscripts we have. It appears the 4 beasts and 24 elders who sing as they have the harps, and they are not saints of "kindred, and tongue, and people, and nation".</w:t>
      </w:r>
    </w:p>
    <w:p>
      <w:pPr>
        <w:jc w:val="left"/>
        <w:ind w:left="360" w:right="0" w:firstLine="0" w:hanging="0"/>
        <w:spacing w:after="60"/>
      </w:pPr>
      <w:r>
        <w:rPr>
          <w:sz w:val="18"/>
          <w:szCs w:val="18"/>
          <w:i w:val="1"/>
          <w:iCs w:val="1"/>
        </w:rPr>
        <w:t xml:space="preserve">[fn] In the KJV/TR/Codex Sinaiticus/NA28 (βασιλεύσουσιν), "They 'shall reign'. Yet, in the reading of Codex Alexandrinus, it places the saints on the earth at present (βασιλεύουσιν). For the astute, the two Greek words here differ by only one letter. Based on the story of Revelation, it seems the reigning on earth would be a future prospect and not a current one before the seals of the scroll are opened.</w:t>
      </w:r>
    </w:p>
    <w:p>
      <w:pPr>
        <w:spacing w:after="150"/>
      </w:pPr>
      <w:r>
        <w:rPr/>
        <w:t xml:space="preserve"/>
      </w:r>
    </w:p>
    <w:p>
      <w:pPr>
        <w:pStyle w:val="Heading3"/>
      </w:pPr>
      <w:bookmarkStart w:id="23" w:name="_Toc23"/>
      <w:r>
        <w:t>Messengers Exalt the Lamb</w:t>
      </w:r>
      <w:bookmarkEnd w:id="23"/>
    </w:p>
    <w:p>
      <w:pPr>
        <w:pStyle w:val="BodyVerse"/>
      </w:pPr>
      <w:r>
        <w:rPr>
          <w:b w:val="1"/>
          <w:bCs w:val="1"/>
        </w:rPr>
        <w:t xml:space="preserve">[[@Bible:Re 5:11]] </w:t>
      </w:r>
      <w:r>
        <w:rPr>
          <w:sz w:val="22"/>
          <w:szCs w:val="22"/>
          <w:b w:val="1"/>
          <w:bCs w:val="1"/>
          <w:vertAlign w:val="superscript"/>
        </w:rPr>
        <w:t xml:space="preserve">11  </w:t>
      </w:r>
      <w:r>
        <w:rPr/>
        <w:t xml:space="preserve">And I beheld, and I heard </w:t>
      </w:r>
      <w:r>
        <w:rPr>
          <w:b w:val="1"/>
          <w:bCs w:val="1"/>
        </w:rPr>
        <w:t xml:space="preserve">the voice of many messengers round about the throne</w:t>
      </w:r>
      <w:r>
        <w:rPr/>
        <w:t xml:space="preserve"> </w:t>
      </w:r>
      <w:r>
        <w:rPr>
          <w:color w:val="4A6FA5"/>
          <w:sz w:val="18"/>
          <w:szCs w:val="18"/>
        </w:rPr>
        <w:t xml:space="preserve"> (x</w:t>
      </w:r>
      <w:r>
        <w:rPr>
          <w:rStyle w:val="FootnoteReference"/>
        </w:rPr>
        <w:footnoteReference w:id="205"/>
      </w:r>
      <w:r>
        <w:rPr>
          <w:color w:val="4A6FA5"/>
          <w:sz w:val="18"/>
          <w:szCs w:val="18"/>
        </w:rPr>
        <w:t xml:space="preserve">) </w:t>
      </w:r>
      <w:r>
        <w:rPr/>
        <w:t xml:space="preserve"> </w:t>
      </w:r>
      <w:r>
        <w:rPr>
          <w:rStyle w:val="FootnoteReference"/>
        </w:rPr>
        <w:footnoteReference w:id="206"/>
      </w:r>
      <w:r>
        <w:rPr/>
        <w:t xml:space="preserve"> and the beasts and the </w:t>
      </w:r>
      <w:r>
        <w:rPr>
          <w:b w:val="1"/>
          <w:bCs w:val="1"/>
        </w:rPr>
        <w:t xml:space="preserve">elders</w:t>
      </w:r>
      <w:r>
        <w:rPr/>
        <w:t xml:space="preserve"> </w:t>
      </w:r>
      <w:r>
        <w:rPr>
          <w:rStyle w:val="FootnoteReference"/>
        </w:rPr>
        <w:footnoteReference w:id="207"/>
      </w:r>
      <w:r>
        <w:rPr/>
        <w:t xml:space="preserve">: and the number of them was </w:t>
      </w:r>
      <w:r>
        <w:rPr>
          <w:b w:val="1"/>
          <w:bCs w:val="1"/>
        </w:rPr>
        <w:t xml:space="preserve">ten thousand times ten thousand, and thousands of thousands;</w:t>
      </w:r>
      <w:r>
        <w:rPr/>
        <w:t xml:space="preserve"> </w:t>
      </w:r>
      <w:r>
        <w:rPr>
          <w:rStyle w:val="FootnoteReference"/>
        </w:rPr>
        <w:footnoteReference w:id="208"/>
      </w:r>
    </w:p>
    <w:p>
      <w:pPr>
        <w:pStyle w:val="BodyVerse"/>
      </w:pPr>
      <w:r>
        <w:rPr>
          <w:b w:val="1"/>
          <w:bCs w:val="1"/>
        </w:rPr>
        <w:t xml:space="preserve">[[@Bible:Re 5:12]] </w:t>
      </w:r>
      <w:r>
        <w:rPr>
          <w:sz w:val="22"/>
          <w:szCs w:val="22"/>
          <w:b w:val="1"/>
          <w:bCs w:val="1"/>
          <w:vertAlign w:val="superscript"/>
        </w:rPr>
        <w:t xml:space="preserve">12  </w:t>
      </w:r>
      <w:r>
        <w:rPr/>
        <w:t xml:space="preserve">Saying with a great voice, Worthy is </w:t>
      </w:r>
      <w:r>
        <w:rPr>
          <w:b w:val="1"/>
          <w:bCs w:val="1"/>
        </w:rPr>
        <w:t xml:space="preserve">the Lamb who was slain</w:t>
      </w:r>
      <w:r>
        <w:rPr/>
        <w:t xml:space="preserve"> </w:t>
      </w:r>
      <w:r>
        <w:rPr>
          <w:rStyle w:val="FootnoteReference"/>
        </w:rPr>
        <w:footnoteReference w:id="209"/>
      </w:r>
      <w:r>
        <w:rPr/>
        <w:t xml:space="preserve"> to receive </w:t>
      </w:r>
      <w:r>
        <w:rPr>
          <w:b w:val="1"/>
          <w:bCs w:val="1"/>
        </w:rPr>
        <w:t xml:space="preserve">might, and riches, and wisdom, and strength, and honor, and glory, and blessing</w:t>
      </w:r>
      <w:r>
        <w:rPr/>
        <w:t xml:space="preserve"> </w:t>
      </w:r>
      <w:r>
        <w:rPr>
          <w:color w:val="4A6FA5"/>
          <w:sz w:val="18"/>
          <w:szCs w:val="18"/>
        </w:rPr>
        <w:t xml:space="preserve"> (x</w:t>
      </w:r>
      <w:r>
        <w:rPr>
          <w:rStyle w:val="FootnoteReference"/>
        </w:rPr>
        <w:footnoteReference w:id="210"/>
      </w:r>
      <w:r>
        <w:rPr>
          <w:color w:val="4A6FA5"/>
          <w:sz w:val="18"/>
          <w:szCs w:val="18"/>
        </w:rPr>
        <w:t xml:space="preserve">) </w:t>
      </w:r>
      <w:r>
        <w:rPr/>
        <w:t xml:space="preserve">.</w:t>
      </w:r>
    </w:p>
    <w:p>
      <w:pPr>
        <w:pStyle w:val="BodyVerse"/>
      </w:pPr>
      <w:r>
        <w:rPr>
          <w:b w:val="1"/>
          <w:bCs w:val="1"/>
        </w:rPr>
        <w:t xml:space="preserve">[[@Bible:Re 5:13]] </w:t>
      </w:r>
      <w:r>
        <w:rPr>
          <w:sz w:val="22"/>
          <w:szCs w:val="22"/>
          <w:b w:val="1"/>
          <w:bCs w:val="1"/>
          <w:vertAlign w:val="superscript"/>
        </w:rPr>
        <w:t xml:space="preserve">13  </w:t>
      </w:r>
      <w:r>
        <w:rPr/>
        <w:t xml:space="preserve">And </w:t>
      </w:r>
      <w:r>
        <w:rPr>
          <w:b w:val="1"/>
          <w:bCs w:val="1"/>
        </w:rPr>
        <w:t xml:space="preserve">every creature which is in heaven, and on the earth, and under the earth, and such as are in the sea, and all that are in them</w:t>
      </w:r>
      <w:r>
        <w:rPr/>
        <w:t xml:space="preserve"> </w:t>
      </w:r>
      <w:r>
        <w:rPr>
          <w:rStyle w:val="FootnoteReference"/>
        </w:rPr>
        <w:footnoteReference w:id="211"/>
      </w:r>
      <w:r>
        <w:rPr/>
        <w:t xml:space="preserve"> </w:t>
      </w:r>
      <w:r>
        <w:rPr>
          <w:rStyle w:val="FootnoteReference"/>
        </w:rPr>
        <w:footnoteReference w:id="212"/>
      </w:r>
      <w:r>
        <w:rPr/>
        <w:t xml:space="preserve"> </w:t>
      </w:r>
      <w:r>
        <w:rPr>
          <w:rStyle w:val="FootnoteReference"/>
        </w:rPr>
        <w:footnoteReference w:id="213"/>
      </w:r>
      <w:r>
        <w:rPr/>
        <w:t xml:space="preserve">, heard I saying, Blessing, and honor, and glory, and dominion, be unto him who sits upon the throne, and unto the Lamb forever and ever.</w:t>
      </w:r>
    </w:p>
    <w:p>
      <w:pPr>
        <w:jc w:val="left"/>
        <w:ind w:left="360" w:right="0" w:firstLine="0" w:hanging="0"/>
        <w:spacing w:after="60"/>
      </w:pPr>
      <w:r>
        <w:rPr>
          <w:sz w:val="18"/>
          <w:szCs w:val="18"/>
          <w:i w:val="1"/>
          <w:iCs w:val="1"/>
        </w:rPr>
        <w:t xml:space="preserve">[fn] τίσμα — creature, a created thing.</w:t>
      </w:r>
    </w:p>
    <w:p>
      <w:pPr>
        <w:pStyle w:val="BodyVerse"/>
      </w:pPr>
      <w:r>
        <w:rPr>
          <w:b w:val="1"/>
          <w:bCs w:val="1"/>
        </w:rPr>
        <w:t xml:space="preserve">[[@Bible:Re 5:14]] </w:t>
      </w:r>
      <w:r>
        <w:rPr>
          <w:sz w:val="22"/>
          <w:szCs w:val="22"/>
          <w:b w:val="1"/>
          <w:bCs w:val="1"/>
          <w:vertAlign w:val="superscript"/>
        </w:rPr>
        <w:t xml:space="preserve">14  </w:t>
      </w:r>
      <w:r>
        <w:rPr/>
        <w:t xml:space="preserve">And the four </w:t>
      </w:r>
      <w:r>
        <w:rPr>
          <w:b w:val="1"/>
          <w:bCs w:val="1"/>
        </w:rPr>
        <w:t xml:space="preserve">beasts</w:t>
      </w:r>
      <w:r>
        <w:rPr/>
        <w:t xml:space="preserve"> </w:t>
      </w:r>
      <w:r>
        <w:rPr>
          <w:rStyle w:val="FootnoteReference"/>
        </w:rPr>
        <w:footnoteReference w:id="214"/>
      </w:r>
      <w:r>
        <w:rPr/>
        <w:t xml:space="preserve"> said, Amen. And the four and twenty </w:t>
      </w:r>
      <w:r>
        <w:rPr>
          <w:b w:val="1"/>
          <w:bCs w:val="1"/>
        </w:rPr>
        <w:t xml:space="preserve">elders</w:t>
      </w:r>
      <w:r>
        <w:rPr/>
        <w:t xml:space="preserve"> </w:t>
      </w:r>
      <w:r>
        <w:rPr>
          <w:rStyle w:val="FootnoteReference"/>
        </w:rPr>
        <w:footnoteReference w:id="215"/>
      </w:r>
      <w:r>
        <w:rPr/>
        <w:t xml:space="preserve"> fell down and worshipped</w:t>
      </w:r>
      <w:r>
        <w:rPr/>
        <w:t xml:space="preserve">.</w:t>
      </w:r>
    </w:p>
    <w:p>
      <w:pPr>
        <w:jc w:val="center"/>
        <w:spacing w:before="120" w:after="60"/>
      </w:pPr>
      <w:r>
        <w:rPr>
          <w:sz w:val="36"/>
          <w:szCs w:val="36"/>
          <w:b w:val="1"/>
          <w:bCs w:val="1"/>
        </w:rPr>
        <w:t xml:space="preserve">✶</w:t>
      </w:r>
    </w:p>
    <w:p>
      <w:pPr>
        <w:pStyle w:val="Heading2"/>
      </w:pPr>
      <w:bookmarkStart w:id="24" w:name="_Toc24"/>
      <w:r>
        <w:t>The Seal Plagues</w:t>
      </w:r>
      <w:bookmarkEnd w:id="24"/>
    </w:p>
    <w:p>
      <w:pPr>
        <w:pStyle w:val="SectionBody"/>
      </w:pPr>
      <w:r>
        <w:rPr>
          <w:b w:val="1"/>
          <w:bCs w:val="1"/>
        </w:rPr>
        <w:t xml:space="preserve">Linear Scene 1.2a:</w:t>
      </w:r>
      <w:r>
        <w:rPr/>
        <w:t xml:space="preserve"> All the plagues, seals, trumpets, and vials do not overlap or nest; they go in a linear order forward - seals 1-7, then trumpets 1-7, then vials 1-7. Each of the plague sets ends with "voices, and thunders, and lightnings, and an earthquake" (VTL). Showing the same kind of bookending structures as all parts of the book of Revelation. In fact, we also see in heaven these same "voices, and thunders, and lightnings" without an earthquake in Chapter 4 before these plagues, which further adds symmetry to the writing. So the pattern is: Opening VTL, Seals, VTL, Trumpets, VTL, Vials, final VTL in Revelation 4:5, 8:5, 11:19, 16:18.</w:t>
      </w:r>
    </w:p>
    <w:p>
      <w:pPr>
        <w:pStyle w:val="SectionBody"/>
      </w:pPr>
      <w:r>
        <w:rPr>
          <w:b w:val="1"/>
          <w:bCs w:val="1"/>
        </w:rPr>
        <w:t xml:space="preserve">Bookends:</w:t>
      </w:r>
      <w:r>
        <w:rPr/>
        <w:t xml:space="preserve"> Forming the story about the 7 years, we see the white horse of conquering, and then in chapter 19, we see the end of the first white horse and its following horsemen with the white horse rider Jesus and his army of horses.</w:t>
      </w:r>
    </w:p>
    <w:p>
      <w:pPr>
        <w:spacing w:after="150"/>
      </w:pPr>
      <w:r>
        <w:rPr/>
        <w:t xml:space="preserve"/>
      </w:r>
    </w:p>
    <w:p>
      <w:pPr>
        <w:spacing w:after="150"/>
      </w:pPr>
      <w:r>
        <w:rPr/>
        <w:t xml:space="preserve"/>
      </w:r>
    </w:p>
    <w:p>
      <w:pPr>
        <w:pStyle w:val="Heading3"/>
      </w:pPr>
      <w:bookmarkStart w:id="25" w:name="_Toc25"/>
      <w:r>
        <w:t>Lamb Opens Seals</w:t>
      </w:r>
      <w:bookmarkEnd w:id="25"/>
    </w:p>
    <w:p>
      <w:pPr>
        <w:pStyle w:val="SectionBody"/>
      </w:pPr>
      <w:r>
        <w:rPr>
          <w:b w:val="1"/>
          <w:bCs w:val="1"/>
        </w:rPr>
        <w:t xml:space="preserve">Important Note:</w:t>
      </w:r>
      <w:r>
        <w:rPr/>
        <w:t xml:space="preserve"> There is an important phrase in the first four seals that seems to bind them together, as though those seals are broken in sequence, but also as a whole. That phrase is "Come and see" in KJV or "Come" in ESV by the four beasts in Revelation 6:1, 6:3, 6:5, 6:7. We will see the same kind of binding in the first four trumpets, but the 1/3 of the earth, sea, waters, and heavenly lights.</w:t>
      </w:r>
    </w:p>
    <w:p>
      <w:pPr>
        <w:spacing w:after="150"/>
      </w:pPr>
      <w:r>
        <w:rPr/>
        <w:t xml:space="preserve"/>
      </w:r>
    </w:p>
    <w:p>
      <w:pPr>
        <w:pStyle w:val="BodyVerse"/>
      </w:pPr>
      <w:r>
        <w:rPr>
          <w:b w:val="1"/>
          <w:bCs w:val="1"/>
        </w:rPr>
        <w:t xml:space="preserve">[[@Bible:Re 6:1]] </w:t>
      </w:r>
      <w:r>
        <w:rPr>
          <w:sz w:val="22"/>
          <w:szCs w:val="22"/>
          <w:b w:val="1"/>
          <w:bCs w:val="1"/>
          <w:vertAlign w:val="superscript"/>
        </w:rPr>
        <w:t xml:space="preserve">1  </w:t>
      </w:r>
      <w:r>
        <w:rPr/>
        <w:t xml:space="preserve">And I saw when the Lamb opened one of the seals, and I heard one of the </w:t>
      </w:r>
      <w:r>
        <w:rPr>
          <w:b w:val="1"/>
          <w:bCs w:val="1"/>
        </w:rPr>
        <w:t xml:space="preserve">four beasts</w:t>
      </w:r>
      <w:r>
        <w:rPr/>
        <w:t xml:space="preserve"> </w:t>
      </w:r>
      <w:r>
        <w:rPr>
          <w:rStyle w:val="FootnoteReference"/>
        </w:rPr>
        <w:footnoteReference w:id="216"/>
      </w:r>
      <w:r>
        <w:rPr/>
        <w:t xml:space="preserve"> </w:t>
      </w:r>
      <w:r>
        <w:rPr>
          <w:color w:val="4A6FA5"/>
          <w:sz w:val="18"/>
          <w:szCs w:val="18"/>
        </w:rPr>
        <w:t xml:space="preserve"> (4m4w</w:t>
      </w:r>
      <w:r>
        <w:rPr>
          <w:rStyle w:val="FootnoteReference"/>
        </w:rPr>
        <w:footnoteReference w:id="217"/>
      </w:r>
      <w:r>
        <w:rPr>
          <w:color w:val="4A6FA5"/>
          <w:sz w:val="18"/>
          <w:szCs w:val="18"/>
        </w:rPr>
        <w:t xml:space="preserve">) </w:t>
      </w:r>
      <w:r>
        <w:rPr/>
        <w:t xml:space="preserve"> saying, as it were the voice of </w:t>
      </w:r>
      <w:r>
        <w:rPr>
          <w:b w:val="1"/>
          <w:bCs w:val="1"/>
        </w:rPr>
        <w:t xml:space="preserve">thunder</w:t>
      </w:r>
      <w:r>
        <w:rPr/>
        <w:t xml:space="preserve"> </w:t>
      </w:r>
      <w:r>
        <w:rPr>
          <w:rStyle w:val="FootnoteReference"/>
        </w:rPr>
        <w:footnoteReference w:id="218"/>
      </w:r>
      <w:r>
        <w:rPr/>
        <w:t xml:space="preserve">, </w:t>
      </w:r>
      <w:r>
        <w:rPr>
          <w:b w:val="1"/>
          <w:bCs w:val="1"/>
        </w:rPr>
        <w:t xml:space="preserve">Come</w:t>
      </w:r>
      <w:r>
        <w:rPr/>
        <w:t xml:space="preserve"> </w:t>
      </w:r>
      <w:r>
        <w:rPr/>
        <w:t xml:space="preserve">  </w:t>
      </w:r>
      <w:r>
        <w:rPr>
          <w:rStyle w:val="FootnoteReference"/>
        </w:rPr>
        <w:footnoteReference w:id="219"/>
      </w:r>
      <w:r>
        <w:rPr/>
        <w:t xml:space="preserve"> </w:t>
      </w:r>
      <w:r>
        <w:rPr>
          <w:rStyle w:val="FootnoteReference"/>
        </w:rPr>
        <w:footnoteReference w:id="220"/>
      </w:r>
      <w:r>
        <w:rPr/>
        <w:t xml:space="preserve"> </w:t>
      </w:r>
      <w:r>
        <w:rPr>
          <w:color w:val="4A6FA5"/>
          <w:sz w:val="18"/>
          <w:szCs w:val="18"/>
        </w:rPr>
        <w:t xml:space="preserve"> (4m4w</w:t>
      </w:r>
      <w:r>
        <w:rPr>
          <w:rStyle w:val="FootnoteReference"/>
        </w:rPr>
        <w:footnoteReference w:id="221"/>
      </w:r>
      <w:r>
        <w:rPr>
          <w:color w:val="4A6FA5"/>
          <w:sz w:val="18"/>
          <w:szCs w:val="18"/>
        </w:rPr>
        <w:t xml:space="preserve">) </w:t>
      </w:r>
      <w:r>
        <w:rPr/>
        <w:t xml:space="preserve">.</w:t>
      </w:r>
    </w:p>
    <w:p>
      <w:pPr>
        <w:spacing w:after="150"/>
      </w:pPr>
      <w:r>
        <w:rPr/>
        <w:t xml:space="preserve"/>
      </w:r>
    </w:p>
    <w:p>
      <w:pPr>
        <w:pStyle w:val="Heading3"/>
      </w:pPr>
      <w:bookmarkStart w:id="26" w:name="_Toc26"/>
      <w:r>
        <w:t>The First Seal: White Horse</w:t>
      </w:r>
      <w:bookmarkEnd w:id="26"/>
    </w:p>
    <w:p>
      <w:pPr>
        <w:pStyle w:val="SectionBody"/>
      </w:pPr>
      <w:r>
        <w:rPr>
          <w:b w:val="1"/>
          <w:bCs w:val="1"/>
        </w:rPr>
        <w:t xml:space="preserve">Important Note:</w:t>
      </w:r>
      <w:r>
        <w:rPr/>
        <w:t xml:space="preserve"> The identity of this white horse rider is disputed. To claim this as Jesus or even the anti-Christ is an interpretive decision. And, it is unnecessary to reach for such as these horses mirror those in Zechariah 1:8 "I saw by night, and behold a man riding upon a red horse, and he stood among the myrtle trees that were in the bottom; and behind him were there red horses, speckled, and white." and also  Zechariah 6:1-8. Thus, they appear to serve as a symbolic link to the prophet's visions rather than to a specific individual.</w:t>
      </w:r>
    </w:p>
    <w:p>
      <w:pPr>
        <w:spacing w:after="150"/>
      </w:pPr>
      <w:r>
        <w:rPr/>
        <w:t xml:space="preserve"/>
      </w:r>
    </w:p>
    <w:p>
      <w:pPr>
        <w:pStyle w:val="BodyVerse"/>
      </w:pPr>
      <w:r>
        <w:rPr>
          <w:b w:val="1"/>
          <w:bCs w:val="1"/>
        </w:rPr>
        <w:t xml:space="preserve">[[@Bible:Re 6:2]] </w:t>
      </w:r>
      <w:r>
        <w:rPr>
          <w:sz w:val="22"/>
          <w:szCs w:val="22"/>
          <w:b w:val="1"/>
          <w:bCs w:val="1"/>
          <w:vertAlign w:val="superscript"/>
        </w:rPr>
        <w:t xml:space="preserve">2  </w:t>
      </w:r>
      <w:r>
        <w:rPr/>
        <w:t xml:space="preserve">And I saw, and behold a white horse: and he that sat on him had a bow; and a crown was given unto him: and he went forth conquering, and to conquer.</w:t>
      </w:r>
    </w:p>
    <w:p>
      <w:pPr>
        <w:spacing w:after="150"/>
      </w:pPr>
      <w:r>
        <w:rPr/>
        <w:t xml:space="preserve"/>
      </w:r>
    </w:p>
    <w:p>
      <w:pPr>
        <w:pStyle w:val="Heading3"/>
      </w:pPr>
      <w:bookmarkStart w:id="27" w:name="_Toc27"/>
      <w:r>
        <w:t>The Second Seal: Fiery-Red Horse</w:t>
      </w:r>
      <w:bookmarkEnd w:id="27"/>
    </w:p>
    <w:p>
      <w:pPr>
        <w:pStyle w:val="BodyVerse"/>
      </w:pPr>
      <w:r>
        <w:rPr>
          <w:b w:val="1"/>
          <w:bCs w:val="1"/>
        </w:rPr>
        <w:t xml:space="preserve">[[@Bible:Re 6:3]] </w:t>
      </w:r>
      <w:r>
        <w:rPr>
          <w:sz w:val="22"/>
          <w:szCs w:val="22"/>
          <w:b w:val="1"/>
          <w:bCs w:val="1"/>
          <w:vertAlign w:val="superscript"/>
        </w:rPr>
        <w:t xml:space="preserve">3  </w:t>
      </w:r>
      <w:r>
        <w:rPr/>
        <w:t xml:space="preserve">And when he had opened the second seal, I heard the second beast say, </w:t>
      </w:r>
      <w:r>
        <w:rPr>
          <w:b w:val="1"/>
          <w:bCs w:val="1"/>
        </w:rPr>
        <w:t xml:space="preserve">Come</w:t>
      </w:r>
      <w:r>
        <w:rPr/>
        <w:t xml:space="preserve"> </w:t>
      </w:r>
      <w:r>
        <w:rPr/>
        <w:t xml:space="preserve"> </w:t>
      </w:r>
      <w:r>
        <w:rPr>
          <w:rStyle w:val="FootnoteReference"/>
        </w:rPr>
        <w:footnoteReference w:id="222"/>
      </w:r>
      <w:r>
        <w:rPr/>
        <w:t xml:space="preserve"> </w:t>
      </w:r>
      <w:r>
        <w:rPr>
          <w:color w:val="4A6FA5"/>
          <w:sz w:val="18"/>
          <w:szCs w:val="18"/>
        </w:rPr>
        <w:t xml:space="preserve"> (4m4w</w:t>
      </w:r>
      <w:r>
        <w:rPr>
          <w:rStyle w:val="FootnoteReference"/>
        </w:rPr>
        <w:footnoteReference w:id="223"/>
      </w:r>
      <w:r>
        <w:rPr>
          <w:color w:val="4A6FA5"/>
          <w:sz w:val="18"/>
          <w:szCs w:val="18"/>
        </w:rPr>
        <w:t xml:space="preserve">) </w:t>
      </w:r>
      <w:r>
        <w:rPr/>
        <w:t xml:space="preserve">.</w:t>
      </w:r>
    </w:p>
    <w:p>
      <w:pPr>
        <w:pStyle w:val="BodyVerse"/>
      </w:pPr>
      <w:r>
        <w:rPr>
          <w:b w:val="1"/>
          <w:bCs w:val="1"/>
        </w:rPr>
        <w:t xml:space="preserve">[[@Bible:Re 6:4]] </w:t>
      </w:r>
      <w:r>
        <w:rPr>
          <w:sz w:val="22"/>
          <w:szCs w:val="22"/>
          <w:b w:val="1"/>
          <w:bCs w:val="1"/>
          <w:vertAlign w:val="superscript"/>
        </w:rPr>
        <w:t xml:space="preserve">4  </w:t>
      </w:r>
      <w:r>
        <w:rPr/>
        <w:t xml:space="preserve">And there went out another horse that was fiery-red: and it was given to him that sat upon it to take peace from the earth, and that they should kill one another: and there was given unto him a great sword.</w:t>
      </w:r>
    </w:p>
    <w:p>
      <w:pPr>
        <w:spacing w:after="150"/>
      </w:pPr>
      <w:r>
        <w:rPr/>
        <w:t xml:space="preserve"/>
      </w:r>
    </w:p>
    <w:p>
      <w:pPr>
        <w:pStyle w:val="Heading3"/>
      </w:pPr>
      <w:bookmarkStart w:id="28" w:name="_Toc28"/>
      <w:r>
        <w:t>The Third Seal: Black Horse</w:t>
      </w:r>
      <w:bookmarkEnd w:id="28"/>
    </w:p>
    <w:p>
      <w:pPr>
        <w:pStyle w:val="BodyVerse"/>
      </w:pPr>
      <w:r>
        <w:rPr>
          <w:b w:val="1"/>
          <w:bCs w:val="1"/>
        </w:rPr>
        <w:t xml:space="preserve">[[@Bible:Re 6:5]] </w:t>
      </w:r>
      <w:r>
        <w:rPr>
          <w:sz w:val="22"/>
          <w:szCs w:val="22"/>
          <w:b w:val="1"/>
          <w:bCs w:val="1"/>
          <w:vertAlign w:val="superscript"/>
        </w:rPr>
        <w:t xml:space="preserve">5  </w:t>
      </w:r>
      <w:r>
        <w:rPr/>
        <w:t xml:space="preserve">And when he had opened the third seal, I heard the third beast say, </w:t>
      </w:r>
      <w:r>
        <w:rPr>
          <w:b w:val="1"/>
          <w:bCs w:val="1"/>
        </w:rPr>
        <w:t xml:space="preserve">Come</w:t>
      </w:r>
      <w:r>
        <w:rPr/>
        <w:t xml:space="preserve"> </w:t>
      </w:r>
      <w:r>
        <w:rPr/>
        <w:t xml:space="preserve">  </w:t>
      </w:r>
      <w:r>
        <w:rPr>
          <w:rStyle w:val="FootnoteReference"/>
        </w:rPr>
        <w:footnoteReference w:id="224"/>
      </w:r>
      <w:r>
        <w:rPr/>
        <w:t xml:space="preserve"> </w:t>
      </w:r>
      <w:r>
        <w:rPr>
          <w:color w:val="4A6FA5"/>
          <w:sz w:val="18"/>
          <w:szCs w:val="18"/>
        </w:rPr>
        <w:t xml:space="preserve"> (4m4w</w:t>
      </w:r>
      <w:r>
        <w:rPr>
          <w:rStyle w:val="FootnoteReference"/>
        </w:rPr>
        <w:footnoteReference w:id="225"/>
      </w:r>
      <w:r>
        <w:rPr>
          <w:color w:val="4A6FA5"/>
          <w:sz w:val="18"/>
          <w:szCs w:val="18"/>
        </w:rPr>
        <w:t xml:space="preserve">) </w:t>
      </w:r>
      <w:r>
        <w:rPr/>
        <w:t xml:space="preserve">. And I beheld, and lo, a black horse; and he that sat on him had a pair of balances in his hand.</w:t>
      </w:r>
    </w:p>
    <w:p>
      <w:pPr>
        <w:pStyle w:val="BodyVerse"/>
      </w:pPr>
      <w:r>
        <w:rPr>
          <w:b w:val="1"/>
          <w:bCs w:val="1"/>
        </w:rPr>
        <w:t xml:space="preserve">[[@Bible:Re 6:6]] </w:t>
      </w:r>
      <w:r>
        <w:rPr>
          <w:sz w:val="22"/>
          <w:szCs w:val="22"/>
          <w:b w:val="1"/>
          <w:bCs w:val="1"/>
          <w:vertAlign w:val="superscript"/>
        </w:rPr>
        <w:t xml:space="preserve">6  </w:t>
      </w:r>
      <w:r>
        <w:rPr/>
        <w:t xml:space="preserve">And I heard a voice in the midst of the four </w:t>
      </w:r>
      <w:r>
        <w:rPr>
          <w:b w:val="1"/>
          <w:bCs w:val="1"/>
        </w:rPr>
        <w:t xml:space="preserve">beasts</w:t>
      </w:r>
      <w:r>
        <w:rPr/>
        <w:t xml:space="preserve"> </w:t>
      </w:r>
      <w:r>
        <w:rPr>
          <w:rStyle w:val="FootnoteReference"/>
        </w:rPr>
        <w:footnoteReference w:id="226"/>
      </w:r>
      <w:r>
        <w:rPr/>
        <w:t xml:space="preserve"> say, A measure of wheat for a denarius, and three measures of barley for a denarius; and see you hurt not the oil and the wine.</w:t>
      </w:r>
    </w:p>
    <w:p>
      <w:pPr>
        <w:spacing w:after="150"/>
      </w:pPr>
      <w:r>
        <w:rPr/>
        <w:t xml:space="preserve"/>
      </w:r>
    </w:p>
    <w:p>
      <w:pPr>
        <w:pStyle w:val="Heading3"/>
      </w:pPr>
      <w:bookmarkStart w:id="29" w:name="_Toc29"/>
      <w:r>
        <w:t>The Fourth Seal: Pale Horse</w:t>
      </w:r>
      <w:bookmarkEnd w:id="29"/>
    </w:p>
    <w:p>
      <w:pPr>
        <w:pStyle w:val="SectionBody"/>
      </w:pPr>
      <w:r>
        <w:rPr>
          <w:b w:val="1"/>
          <w:bCs w:val="1"/>
        </w:rPr>
        <w:t xml:space="preserve">Important Note:</w:t>
      </w:r>
      <w:r>
        <w:rPr/>
        <w:t xml:space="preserve"> Death and Hell will later go into the lake of fire.</w:t>
      </w:r>
    </w:p>
    <w:p>
      <w:pPr>
        <w:spacing w:after="150"/>
      </w:pPr>
      <w:r>
        <w:rPr/>
        <w:t xml:space="preserve"/>
      </w:r>
    </w:p>
    <w:p>
      <w:pPr>
        <w:pStyle w:val="BodyVerse"/>
      </w:pPr>
      <w:r>
        <w:rPr>
          <w:b w:val="1"/>
          <w:bCs w:val="1"/>
        </w:rPr>
        <w:t xml:space="preserve">[[@Bible:Re 6:7]] </w:t>
      </w:r>
      <w:r>
        <w:rPr>
          <w:sz w:val="22"/>
          <w:szCs w:val="22"/>
          <w:b w:val="1"/>
          <w:bCs w:val="1"/>
          <w:vertAlign w:val="superscript"/>
        </w:rPr>
        <w:t xml:space="preserve">7  </w:t>
      </w:r>
      <w:r>
        <w:rPr/>
        <w:t xml:space="preserve">And when he had opened the fourth seal, I heard the voice of the fourth beast say, </w:t>
      </w:r>
      <w:r>
        <w:rPr>
          <w:b w:val="1"/>
          <w:bCs w:val="1"/>
        </w:rPr>
        <w:t xml:space="preserve">Come</w:t>
      </w:r>
      <w:r>
        <w:rPr/>
        <w:t xml:space="preserve"> </w:t>
      </w:r>
      <w:r>
        <w:rPr/>
        <w:t xml:space="preserve">  </w:t>
      </w:r>
      <w:r>
        <w:rPr>
          <w:rStyle w:val="FootnoteReference"/>
        </w:rPr>
        <w:footnoteReference w:id="227"/>
      </w:r>
      <w:r>
        <w:rPr/>
        <w:t xml:space="preserve"> </w:t>
      </w:r>
      <w:r>
        <w:rPr>
          <w:color w:val="4A6FA5"/>
          <w:sz w:val="18"/>
          <w:szCs w:val="18"/>
        </w:rPr>
        <w:t xml:space="preserve"> (4m4w</w:t>
      </w:r>
      <w:r>
        <w:rPr>
          <w:rStyle w:val="FootnoteReference"/>
        </w:rPr>
        <w:footnoteReference w:id="228"/>
      </w:r>
      <w:r>
        <w:rPr>
          <w:color w:val="4A6FA5"/>
          <w:sz w:val="18"/>
          <w:szCs w:val="18"/>
        </w:rPr>
        <w:t xml:space="preserve">) </w:t>
      </w:r>
      <w:r>
        <w:rPr/>
        <w:t xml:space="preserve">.</w:t>
      </w:r>
    </w:p>
    <w:p>
      <w:pPr>
        <w:pStyle w:val="BodyVerse"/>
      </w:pPr>
      <w:r>
        <w:rPr>
          <w:b w:val="1"/>
          <w:bCs w:val="1"/>
        </w:rPr>
        <w:t xml:space="preserve">[[@Bible:Re 6:8]] </w:t>
      </w:r>
      <w:r>
        <w:rPr>
          <w:sz w:val="22"/>
          <w:szCs w:val="22"/>
          <w:b w:val="1"/>
          <w:bCs w:val="1"/>
          <w:vertAlign w:val="superscript"/>
        </w:rPr>
        <w:t xml:space="preserve">8  </w:t>
      </w:r>
      <w:r>
        <w:rPr/>
        <w:t xml:space="preserve">And I looked, and behold a pale horse: and his name, that sat on him, was Death, and </w:t>
      </w:r>
      <w:r>
        <w:rPr>
          <w:b w:val="1"/>
          <w:bCs w:val="1"/>
        </w:rPr>
        <w:t xml:space="preserve">Hell followed with him</w:t>
      </w:r>
      <w:r>
        <w:rPr/>
        <w:t xml:space="preserve"> </w:t>
      </w:r>
      <w:r>
        <w:rPr>
          <w:rStyle w:val="FootnoteReference"/>
        </w:rPr>
        <w:footnoteReference w:id="229"/>
      </w:r>
      <w:r>
        <w:rPr/>
        <w:t xml:space="preserve">. And power was given unto them over the fourth part of the earth, to kill with sword, and with hunger, and with death, and with the beasts of the earth.</w:t>
      </w:r>
    </w:p>
    <w:p>
      <w:pPr>
        <w:spacing w:after="150"/>
      </w:pPr>
      <w:r>
        <w:rPr/>
        <w:t xml:space="preserve"/>
      </w:r>
    </w:p>
    <w:p>
      <w:pPr>
        <w:pStyle w:val="Heading3"/>
      </w:pPr>
      <w:bookmarkStart w:id="30" w:name="_Toc30"/>
      <w:r>
        <w:t>The Fifth Seal: Mid-Tribulation Martyrs Rest</w:t>
      </w:r>
      <w:bookmarkEnd w:id="30"/>
    </w:p>
    <w:p>
      <w:pPr>
        <w:pStyle w:val="BodyVerse"/>
      </w:pPr>
      <w:r>
        <w:rPr>
          <w:b w:val="1"/>
          <w:bCs w:val="1"/>
        </w:rPr>
        <w:t xml:space="preserve">[[@Bible:Re 6:9]] </w:t>
      </w:r>
      <w:r>
        <w:rPr>
          <w:sz w:val="22"/>
          <w:szCs w:val="22"/>
          <w:b w:val="1"/>
          <w:bCs w:val="1"/>
          <w:vertAlign w:val="superscript"/>
        </w:rPr>
        <w:t xml:space="preserve">9  </w:t>
      </w:r>
      <w:r>
        <w:rPr/>
        <w:t xml:space="preserve">And when he had opened the fifth seal, I saw </w:t>
      </w:r>
      <w:r>
        <w:rPr>
          <w:b w:val="1"/>
          <w:bCs w:val="1"/>
        </w:rPr>
        <w:t xml:space="preserve">under the altar the souls of them</w:t>
      </w:r>
      <w:r>
        <w:rPr/>
        <w:t xml:space="preserve"> </w:t>
      </w:r>
      <w:r>
        <w:rPr>
          <w:rStyle w:val="FootnoteReference"/>
        </w:rPr>
        <w:footnoteReference w:id="230"/>
      </w:r>
      <w:r>
        <w:rPr/>
        <w:t xml:space="preserve"> </w:t>
      </w:r>
      <w:r>
        <w:rPr>
          <w:rStyle w:val="FootnoteReference"/>
        </w:rPr>
        <w:footnoteReference w:id="231"/>
      </w:r>
      <w:r>
        <w:rPr/>
        <w:t xml:space="preserve"> who were slain for the word of God, and for the </w:t>
      </w:r>
      <w:r>
        <w:rPr>
          <w:b w:val="1"/>
          <w:bCs w:val="1"/>
        </w:rPr>
        <w:t xml:space="preserve">testimony which they held</w:t>
      </w:r>
      <w:r>
        <w:rPr/>
        <w:t xml:space="preserve"> </w:t>
      </w:r>
      <w:r>
        <w:rPr>
          <w:rStyle w:val="FootnoteReference"/>
        </w:rPr>
        <w:footnoteReference w:id="232"/>
      </w:r>
      <w:r>
        <w:rPr/>
        <w:t xml:space="preserve">:</w:t>
      </w:r>
    </w:p>
    <w:p>
      <w:pPr>
        <w:pStyle w:val="BodyVerse"/>
      </w:pPr>
      <w:r>
        <w:rPr>
          <w:b w:val="1"/>
          <w:bCs w:val="1"/>
        </w:rPr>
        <w:t xml:space="preserve">[[@Bible:Re 6:10]] </w:t>
      </w:r>
      <w:r>
        <w:rPr>
          <w:sz w:val="22"/>
          <w:szCs w:val="22"/>
          <w:b w:val="1"/>
          <w:bCs w:val="1"/>
          <w:vertAlign w:val="superscript"/>
        </w:rPr>
        <w:t xml:space="preserve">10  </w:t>
      </w:r>
      <w:r>
        <w:rPr/>
        <w:t xml:space="preserve">And they cried with a great voice, saying, O Lord, holy and true, how long will you not </w:t>
      </w:r>
      <w:r>
        <w:rPr>
          <w:b w:val="1"/>
          <w:bCs w:val="1"/>
        </w:rPr>
        <w:t xml:space="preserve">judge and avenge our blood on those who dwell on the earth?</w:t>
      </w:r>
      <w:r>
        <w:rPr/>
        <w:t xml:space="preserve"> </w:t>
      </w:r>
      <w:r>
        <w:rPr>
          <w:color w:val="4A6FA5"/>
          <w:sz w:val="18"/>
          <w:szCs w:val="18"/>
        </w:rPr>
        <w:t xml:space="preserve"> (jt</w:t>
      </w:r>
      <w:r>
        <w:rPr>
          <w:rStyle w:val="FootnoteReference"/>
        </w:rPr>
        <w:footnoteReference w:id="233"/>
      </w:r>
      <w:r>
        <w:rPr>
          <w:color w:val="4A6FA5"/>
          <w:sz w:val="18"/>
          <w:szCs w:val="18"/>
        </w:rPr>
        <w:t xml:space="preserve">) </w:t>
      </w:r>
    </w:p>
    <w:p>
      <w:pPr>
        <w:jc w:val="left"/>
        <w:ind w:left="360" w:right="0" w:firstLine="0" w:hanging="0"/>
        <w:spacing w:after="60"/>
      </w:pPr>
      <w:r>
        <w:rPr>
          <w:sz w:val="18"/>
          <w:szCs w:val="18"/>
          <w:i w:val="1"/>
          <w:iCs w:val="1"/>
        </w:rPr>
        <w:t xml:space="preserve">[fn] This cry for "Judgement" for God to execute seems to be reflected in the 7th seal with the prayer of the saints in 8:3 and the trumpets that follow the 7th seal. Then this call for judgement appears to be finished after 7th trumpet when the 7th vial messengers pour his vial out. In this way the text seems to communicate the judgement of God spanning from the first trumpet to the last vial. This is also affirmed in the text in 6:17 when it is declared "for the great day of their wrath is come" after the 6th seal is opened.</w:t>
      </w:r>
    </w:p>
    <w:p>
      <w:pPr>
        <w:pStyle w:val="BodyVerse"/>
      </w:pPr>
      <w:r>
        <w:rPr>
          <w:b w:val="1"/>
          <w:bCs w:val="1"/>
        </w:rPr>
        <w:t xml:space="preserve">[[@Bible:Re 6:11]] </w:t>
      </w:r>
      <w:r>
        <w:rPr>
          <w:sz w:val="22"/>
          <w:szCs w:val="22"/>
          <w:b w:val="1"/>
          <w:bCs w:val="1"/>
          <w:vertAlign w:val="superscript"/>
        </w:rPr>
        <w:t xml:space="preserve">11  </w:t>
      </w:r>
      <w:r>
        <w:rPr/>
        <w:t xml:space="preserve">And unto </w:t>
      </w:r>
      <w:r>
        <w:rPr>
          <w:b w:val="1"/>
          <w:bCs w:val="1"/>
        </w:rPr>
        <w:t xml:space="preserve">every one of them were given white robes</w:t>
      </w:r>
      <w:r>
        <w:rPr/>
        <w:t xml:space="preserve"> </w:t>
      </w:r>
      <w:r>
        <w:rPr>
          <w:rStyle w:val="FootnoteReference"/>
        </w:rPr>
        <w:footnoteReference w:id="234"/>
      </w:r>
      <w:r>
        <w:rPr/>
        <w:t xml:space="preserve">; and it was </w:t>
      </w:r>
      <w:r>
        <w:rPr>
          <w:b w:val="1"/>
          <w:bCs w:val="1"/>
        </w:rPr>
        <w:t xml:space="preserve">said unto them</w:t>
      </w:r>
      <w:r>
        <w:rPr/>
        <w:t xml:space="preserve"> </w:t>
      </w:r>
      <w:r>
        <w:rPr>
          <w:rStyle w:val="FootnoteReference"/>
        </w:rPr>
        <w:footnoteReference w:id="235"/>
      </w:r>
      <w:r>
        <w:rPr/>
        <w:t xml:space="preserve">, that they should </w:t>
      </w:r>
      <w:r>
        <w:rPr>
          <w:b w:val="1"/>
          <w:bCs w:val="1"/>
        </w:rPr>
        <w:t xml:space="preserve">rest</w:t>
      </w:r>
      <w:r>
        <w:rPr/>
        <w:t xml:space="preserve"> </w:t>
      </w:r>
      <w:r>
        <w:rPr>
          <w:color w:val="4A6FA5"/>
          <w:sz w:val="18"/>
          <w:szCs w:val="18"/>
        </w:rPr>
        <w:t xml:space="preserve"> (f</w:t>
      </w:r>
      <w:r>
        <w:rPr>
          <w:rStyle w:val="FootnoteReference"/>
        </w:rPr>
        <w:footnoteReference w:id="236"/>
      </w:r>
      <w:r>
        <w:rPr>
          <w:color w:val="4A6FA5"/>
          <w:sz w:val="18"/>
          <w:szCs w:val="18"/>
        </w:rPr>
        <w:t xml:space="preserve">) </w:t>
      </w:r>
      <w:r>
        <w:rPr/>
        <w:t xml:space="preserve"> yet for </w:t>
      </w:r>
      <w:r>
        <w:rPr>
          <w:b w:val="1"/>
          <w:bCs w:val="1"/>
        </w:rPr>
        <w:t xml:space="preserve">a small season</w:t>
      </w:r>
      <w:r>
        <w:rPr/>
        <w:t xml:space="preserve"> </w:t>
      </w:r>
      <w:r>
        <w:rPr>
          <w:color w:val="4A6FA5"/>
          <w:sz w:val="18"/>
          <w:szCs w:val="18"/>
        </w:rPr>
        <w:t xml:space="preserve"> (ls</w:t>
      </w:r>
      <w:r>
        <w:rPr>
          <w:rStyle w:val="FootnoteReference"/>
        </w:rPr>
        <w:footnoteReference w:id="237"/>
      </w:r>
      <w:r>
        <w:rPr>
          <w:color w:val="4A6FA5"/>
          <w:sz w:val="18"/>
          <w:szCs w:val="18"/>
        </w:rPr>
        <w:t xml:space="preserve">) </w:t>
      </w:r>
      <w:r>
        <w:rPr/>
        <w:t xml:space="preserve"> , until their fellowservants also and their </w:t>
      </w:r>
      <w:r>
        <w:rPr>
          <w:b w:val="1"/>
          <w:bCs w:val="1"/>
        </w:rPr>
        <w:t xml:space="preserve">brethren</w:t>
      </w:r>
      <w:r>
        <w:rPr/>
        <w:t xml:space="preserve"> </w:t>
      </w:r>
      <w:r>
        <w:rPr>
          <w:rStyle w:val="FootnoteReference"/>
        </w:rPr>
        <w:footnoteReference w:id="238"/>
      </w:r>
      <w:r>
        <w:rPr/>
        <w:t xml:space="preserve">, who should be </w:t>
      </w:r>
      <w:r>
        <w:rPr>
          <w:b w:val="1"/>
          <w:bCs w:val="1"/>
        </w:rPr>
        <w:t xml:space="preserve">killed as they were, should be fulfilled</w:t>
      </w:r>
      <w:r>
        <w:rPr/>
        <w:t xml:space="preserve"> </w:t>
      </w:r>
      <w:r>
        <w:rPr>
          <w:color w:val="4A6FA5"/>
          <w:sz w:val="18"/>
          <w:szCs w:val="18"/>
        </w:rPr>
        <w:t xml:space="preserve"> (y</w:t>
      </w:r>
      <w:r>
        <w:rPr>
          <w:rStyle w:val="FootnoteReference"/>
        </w:rPr>
        <w:footnoteReference w:id="239"/>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χρονον - time, period of time, an epoch, era, marked duration. Here translated as "season".</w:t>
      </w:r>
    </w:p>
    <w:p>
      <w:pPr>
        <w:spacing w:after="150"/>
      </w:pPr>
      <w:r>
        <w:rPr/>
        <w:t xml:space="preserve"/>
      </w:r>
    </w:p>
    <w:p>
      <w:pPr>
        <w:pStyle w:val="Heading3"/>
      </w:pPr>
      <w:bookmarkStart w:id="31" w:name="_Toc31"/>
      <w:r>
        <w:t>The Sixth Seal: Terror Before That Day of The Lord, Wrath of God and Lamb</w:t>
      </w:r>
      <w:bookmarkEnd w:id="31"/>
    </w:p>
    <w:p>
      <w:pPr>
        <w:pStyle w:val="SectionBody"/>
      </w:pPr>
      <w:r>
        <w:rPr>
          <w:b w:val="1"/>
          <w:bCs w:val="1"/>
        </w:rPr>
        <w:t xml:space="preserve">Important Note:</w:t>
      </w:r>
      <w:r>
        <w:rPr/>
        <w:t xml:space="preserve"> Here, the wrath is acknowledged. Meaning that the world knows, the great day of wrath has come at this point. We see these events together as the Earth is hurt: an earthquake, the sun turning black, the moon turning to blood, and stars falling from heaven.</w:t>
      </w:r>
    </w:p>
    <w:p>
      <w:pPr>
        <w:pStyle w:val="SectionBody"/>
      </w:pPr>
      <w:r>
        <w:rPr/>
        <w:t xml:space="preserve">Finally, the length of time for this plague is not indefinite nor eternal; we know this because when the trumpet plagues come, the 4th smites the sun and moon and stars, darkening a third of them — thus the sun no longer black at the 4th trumpet. Therefore, the 6th seal plague is a moment in time, minutes or days, we do not know.</w:t>
      </w:r>
    </w:p>
    <w:p>
      <w:pPr>
        <w:pStyle w:val="SectionBody"/>
      </w:pPr>
      <w:r>
        <w:rPr/>
        <w:t xml:space="preserve">Also, the stars falling seem to communicate a large event, but not a total one. It never says "all the stars of heaven," only "the stars," so the number of fallen stars is unknown. And, we see some stars still in place in the trumpet plagues. They are a marker of a pivotal turning point in the outpouring of wrath as marked by "hide us from the face of him that sitteth on the throne, and from the wrath of the Lamb".</w:t>
      </w:r>
    </w:p>
    <w:p>
      <w:pPr>
        <w:spacing w:after="150"/>
      </w:pPr>
      <w:r>
        <w:rPr/>
        <w:t xml:space="preserve"/>
      </w:r>
    </w:p>
    <w:p>
      <w:pPr>
        <w:pStyle w:val="BodyVerse"/>
      </w:pPr>
      <w:r>
        <w:rPr>
          <w:b w:val="1"/>
          <w:bCs w:val="1"/>
        </w:rPr>
        <w:t xml:space="preserve">[[@Bible:Re 6:12]] </w:t>
      </w:r>
      <w:r>
        <w:rPr>
          <w:sz w:val="22"/>
          <w:szCs w:val="22"/>
          <w:b w:val="1"/>
          <w:bCs w:val="1"/>
          <w:vertAlign w:val="superscript"/>
        </w:rPr>
        <w:t xml:space="preserve">12  </w:t>
      </w:r>
      <w:r>
        <w:rPr/>
        <w:t xml:space="preserve">And I beheld when he had opened the sixth seal, and, lo, there was a great earthquake; and the sun became black as sackcloth of hair, and the moon became as blood; </w:t>
      </w:r>
      <w:r>
        <w:rPr>
          <w:rStyle w:val="FootnoteReference"/>
        </w:rPr>
        <w:footnoteReference w:id="240"/>
      </w:r>
    </w:p>
    <w:p>
      <w:pPr>
        <w:jc w:val="left"/>
        <w:ind w:left="360" w:right="0" w:firstLine="0" w:hanging="0"/>
        <w:spacing w:after="60"/>
      </w:pPr>
      <w:r>
        <w:rPr>
          <w:sz w:val="18"/>
          <w:szCs w:val="18"/>
          <w:i w:val="1"/>
          <w:iCs w:val="1"/>
        </w:rPr>
        <w:t xml:space="preserve">[fn] As we enter Revelation 7, remember that this earthquake is already harming the earth. So when Revelation 7 says that the earth should not be hurt until the 144,000 are sealed, the passage likely hints that the sealing of the 144,000 happened before the earthquake of the sixth seal, at the latest.</w:t>
      </w:r>
    </w:p>
    <w:p>
      <w:pPr>
        <w:pStyle w:val="BodyVerse"/>
      </w:pPr>
      <w:r>
        <w:rPr>
          <w:b w:val="1"/>
          <w:bCs w:val="1"/>
        </w:rPr>
        <w:t xml:space="preserve">[[@Bible:Re 6:13]] </w:t>
      </w:r>
      <w:r>
        <w:rPr>
          <w:sz w:val="22"/>
          <w:szCs w:val="22"/>
          <w:b w:val="1"/>
          <w:bCs w:val="1"/>
          <w:vertAlign w:val="superscript"/>
        </w:rPr>
        <w:t xml:space="preserve">13  </w:t>
      </w:r>
      <w:r>
        <w:rPr/>
        <w:t xml:space="preserve">And the stars of heaven fell unto the earth, even as a fig tree casts her untimely figs, when she is shaken of a great wind.</w:t>
      </w:r>
    </w:p>
    <w:p>
      <w:pPr>
        <w:pStyle w:val="BodyVerse"/>
      </w:pPr>
      <w:r>
        <w:rPr>
          <w:b w:val="1"/>
          <w:bCs w:val="1"/>
        </w:rPr>
        <w:t xml:space="preserve">[[@Bible:Re 6:14]] </w:t>
      </w:r>
      <w:r>
        <w:rPr>
          <w:sz w:val="22"/>
          <w:szCs w:val="22"/>
          <w:b w:val="1"/>
          <w:bCs w:val="1"/>
          <w:vertAlign w:val="superscript"/>
        </w:rPr>
        <w:t xml:space="preserve">14  </w:t>
      </w:r>
      <w:r>
        <w:rPr/>
        <w:t xml:space="preserve">And the heaven departed as a scroll when it is rolled together; and every mountain and island was moved out of their places.</w:t>
      </w:r>
    </w:p>
    <w:p>
      <w:pPr>
        <w:jc w:val="left"/>
        <w:ind w:left="360" w:right="0" w:firstLine="0" w:hanging="0"/>
        <w:spacing w:after="60"/>
      </w:pPr>
      <w:r>
        <w:rPr>
          <w:sz w:val="18"/>
          <w:szCs w:val="18"/>
          <w:i w:val="1"/>
          <w:iCs w:val="1"/>
        </w:rPr>
        <w:t xml:space="preserve">[fn] In Revelation 16:20, the mountains are removed entirely, whereas here the mountains are still present and used as places to hide. This shows that the events of Revelation 6:14 and 16:20 are distinct from one another.</w:t>
      </w:r>
    </w:p>
    <w:p>
      <w:pPr>
        <w:pStyle w:val="BodyVerse"/>
      </w:pPr>
      <w:r>
        <w:rPr>
          <w:b w:val="1"/>
          <w:bCs w:val="1"/>
        </w:rPr>
        <w:t xml:space="preserve">[[@Bible:Re 6:15]] </w:t>
      </w:r>
      <w:r>
        <w:rPr>
          <w:sz w:val="22"/>
          <w:szCs w:val="22"/>
          <w:b w:val="1"/>
          <w:bCs w:val="1"/>
          <w:vertAlign w:val="superscript"/>
        </w:rPr>
        <w:t xml:space="preserve">15  </w:t>
      </w:r>
      <w:r>
        <w:rPr/>
        <w:t xml:space="preserve">And the kings of the earth, and the great men, and the chief captains, and the rich men, and the strong men, and every bondman, and every free man, hid themselves in the caves and in the rocks of the mountains;</w:t>
      </w:r>
    </w:p>
    <w:p>
      <w:pPr>
        <w:jc w:val="left"/>
        <w:ind w:left="360" w:right="0" w:firstLine="0" w:hanging="0"/>
        <w:spacing w:after="60"/>
      </w:pPr>
      <w:r>
        <w:rPr>
          <w:sz w:val="18"/>
          <w:szCs w:val="18"/>
          <w:i w:val="1"/>
          <w:iCs w:val="1"/>
        </w:rPr>
        <w:t xml:space="preserve">[fn] We will later learn about the fall of Mystery Babylon, which falls early in Revelation. Revelation 6:15 is not the time of the destruction of Mystery Babylon. Everyone here is focused on themselves, not on Mystery Babylon's fall.</w:t>
      </w:r>
    </w:p>
    <w:p>
      <w:pPr>
        <w:pStyle w:val="BodyVerse"/>
      </w:pPr>
      <w:r>
        <w:rPr>
          <w:b w:val="1"/>
          <w:bCs w:val="1"/>
        </w:rPr>
        <w:t xml:space="preserve">[[@Bible:Re 6:16]] </w:t>
      </w:r>
      <w:r>
        <w:rPr>
          <w:sz w:val="22"/>
          <w:szCs w:val="22"/>
          <w:b w:val="1"/>
          <w:bCs w:val="1"/>
          <w:vertAlign w:val="superscript"/>
        </w:rPr>
        <w:t xml:space="preserve">16  </w:t>
      </w:r>
      <w:r>
        <w:rPr/>
        <w:t xml:space="preserve">And said to the mountains and rocks, Fall on us, and hide us from the face of him who sits on the throne, and from the </w:t>
      </w:r>
      <w:r>
        <w:rPr>
          <w:b w:val="1"/>
          <w:bCs w:val="1"/>
        </w:rPr>
        <w:t xml:space="preserve">wrath of the Lamb</w:t>
      </w:r>
      <w:r>
        <w:rPr/>
        <w:t xml:space="preserve"> </w:t>
      </w:r>
      <w:r>
        <w:rPr>
          <w:rStyle w:val="FootnoteReference"/>
        </w:rPr>
        <w:footnoteReference w:id="241"/>
      </w:r>
      <w:r>
        <w:rPr/>
        <w:t xml:space="preserve"> </w:t>
      </w:r>
      <w:r>
        <w:rPr>
          <w:rStyle w:val="FootnoteReference"/>
        </w:rPr>
        <w:footnoteReference w:id="242"/>
      </w:r>
      <w:r>
        <w:rPr/>
        <w:t xml:space="preserve">:</w:t>
      </w:r>
    </w:p>
    <w:p>
      <w:pPr>
        <w:jc w:val="left"/>
        <w:ind w:left="360" w:right="0" w:firstLine="0" w:hanging="0"/>
        <w:spacing w:after="60"/>
      </w:pPr>
      <w:r>
        <w:rPr>
          <w:sz w:val="18"/>
          <w:szCs w:val="18"/>
          <w:i w:val="1"/>
          <w:iCs w:val="1"/>
        </w:rPr>
        <w:t xml:space="preserve">[fn] In 6:16 and 12:14, the theme of hiding from a face is mirrored between the Lamb and the red dragon. In Revelation 6, people ask creation to hide them from the face of the Lamb. In Revelation 12:14, the 144,000 are hidden from the face of the dragon by the Creator. This reflects a form of idolatry, appealing to creation for deliverance rather than turning to the Creator.</w:t>
      </w:r>
    </w:p>
    <w:p>
      <w:pPr>
        <w:pStyle w:val="BodyVerse"/>
      </w:pPr>
      <w:r>
        <w:rPr>
          <w:b w:val="1"/>
          <w:bCs w:val="1"/>
        </w:rPr>
        <w:t xml:space="preserve">[[@Bible:Re 6:17]] </w:t>
      </w:r>
      <w:r>
        <w:rPr>
          <w:sz w:val="22"/>
          <w:szCs w:val="22"/>
          <w:b w:val="1"/>
          <w:bCs w:val="1"/>
          <w:vertAlign w:val="superscript"/>
        </w:rPr>
        <w:t xml:space="preserve">17  </w:t>
      </w:r>
      <w:r>
        <w:rPr/>
        <w:t xml:space="preserve">For </w:t>
      </w:r>
      <w:r>
        <w:rPr>
          <w:b w:val="1"/>
          <w:bCs w:val="1"/>
        </w:rPr>
        <w:t xml:space="preserve">the great day</w:t>
      </w:r>
      <w:r>
        <w:rPr/>
        <w:t xml:space="preserve"> </w:t>
      </w:r>
      <w:r>
        <w:rPr>
          <w:rStyle w:val="FootnoteReference"/>
        </w:rPr>
        <w:footnoteReference w:id="243"/>
      </w:r>
      <w:r>
        <w:rPr/>
        <w:t xml:space="preserve"> of their </w:t>
      </w:r>
      <w:r>
        <w:rPr>
          <w:b w:val="1"/>
          <w:bCs w:val="1"/>
        </w:rPr>
        <w:t xml:space="preserve">wrath is come</w:t>
      </w:r>
      <w:r>
        <w:rPr/>
        <w:t xml:space="preserve"> </w:t>
      </w:r>
      <w:r>
        <w:rPr>
          <w:rStyle w:val="FootnoteReference"/>
        </w:rPr>
        <w:footnoteReference w:id="244"/>
      </w:r>
      <w:r>
        <w:rPr/>
        <w:t xml:space="preserve">; and who shall be able to stand?</w:t>
      </w:r>
    </w:p>
    <w:p>
      <w:pPr>
        <w:jc w:val="left"/>
        <w:ind w:left="360" w:right="0" w:firstLine="0" w:hanging="0"/>
        <w:spacing w:after="60"/>
      </w:pPr>
      <w:r>
        <w:rPr>
          <w:sz w:val="18"/>
          <w:szCs w:val="18"/>
          <w:i w:val="1"/>
          <w:iCs w:val="1"/>
        </w:rPr>
        <w:t xml:space="preserve">[fn] In the KJV, the singular "his" suggests the wrath belongs only to the Lamb, but the ESV—following earlier manuscript evidence—reads "their wrath," indicating both the Father and the Lamb. This reading fits the context more naturally, given the reference to the face of the Father, and it also harmonizes with Revelation 6:16, where the wrath is already explicitly attributed to the Lamb. In Essays on Revelation, 2011 Chapter 8, Stevens argues that Revelation 6:17 originally read "their wrath," noting that both external and internal evidence favor the plural, and suggesting that later scribes likely shifted it to the singular for theological reasons. Finally, if this is "their" wrath, then the reading in 15:1, when we see the 7 plagues were "with them the wrath of God is finished" ones makes more sense, vs the KJV saying the angel's plagues were "in them is filled up the wrath of God". The wrath of God has been a looming event at the very least from seal 6 to the first vial is poured out when it will be finishing.</w:t>
      </w:r>
    </w:p>
    <w:p>
      <w:pPr>
        <w:jc w:val="left"/>
        <w:ind w:left="360" w:right="0" w:firstLine="0" w:hanging="0"/>
        <w:spacing w:after="60"/>
      </w:pPr>
      <w:r>
        <w:rPr>
          <w:sz w:val="18"/>
          <w:szCs w:val="18"/>
          <w:i w:val="1"/>
          <w:iCs w:val="1"/>
        </w:rPr>
        <w:t xml:space="preserve">[fn] This is not the end of the tribulation. Rather, it marks a moment of recognition by those on the earth; they understand who is judging them, and they realize that further wrath is still to come.</w:t>
      </w:r>
    </w:p>
    <w:p>
      <w:pPr>
        <w:jc w:val="center"/>
        <w:spacing w:before="120" w:after="60"/>
      </w:pPr>
      <w:r>
        <w:rPr>
          <w:sz w:val="36"/>
          <w:szCs w:val="36"/>
          <w:b w:val="1"/>
          <w:bCs w:val="1"/>
        </w:rPr>
        <w:t xml:space="preserve">✶</w:t>
      </w:r>
    </w:p>
    <w:p>
      <w:pPr>
        <w:pStyle w:val="Heading2"/>
      </w:pPr>
      <w:bookmarkStart w:id="32" w:name="_Toc32"/>
      <w:r>
        <w:t>Before Seal Plagues: 144,000 Sealed and Immense Multitude Come Out of Great Tribulation</w:t>
      </w:r>
      <w:bookmarkEnd w:id="32"/>
    </w:p>
    <w:p>
      <w:pPr>
        <w:pStyle w:val="SectionBody"/>
      </w:pPr>
      <w:r>
        <w:rPr>
          <w:b w:val="1"/>
          <w:bCs w:val="1"/>
        </w:rPr>
        <w:t xml:space="preserve">Parenthetical Scene 1:</w:t>
      </w:r>
      <w:r>
        <w:rPr/>
        <w:t xml:space="preserve"> This happens before a new song is sung in Revelation 14.  This is made known because Revelation 14 provides the timeline for many events, and a new song is sung after the seal of the Father is seen on the 144,000 in Revelation 14:1; here in chapter 7, the seal of the Father is not yet given. Also, note that the 6th seal has already affected the earth through an earthquake, so we know this must be before that earthquake at the very least.</w:t>
      </w:r>
    </w:p>
    <w:p>
      <w:pPr>
        <w:pStyle w:val="SectionBody"/>
      </w:pPr>
      <w:r>
        <w:rPr>
          <w:b w:val="1"/>
          <w:bCs w:val="1"/>
        </w:rPr>
        <w:t xml:space="preserve">Bookends:</w:t>
      </w:r>
      <w:r>
        <w:rPr/>
        <w:t xml:space="preserve"> In this parenthetical scene, the bookends are the 12 tribes about to enter tribulation under protection, and the other is the church that comes out of great tribulation. Two groups are being protected by a seal or escape. Further, the first group is countable (144,000 exactly), and the other is an "immense multitude" that is not countable.</w:t>
      </w:r>
    </w:p>
    <w:p>
      <w:pPr>
        <w:spacing w:after="150"/>
      </w:pPr>
      <w:r>
        <w:rPr/>
        <w:t xml:space="preserve"/>
      </w:r>
    </w:p>
    <w:p>
      <w:pPr>
        <w:pStyle w:val="BodyVerse"/>
      </w:pPr>
      <w:r>
        <w:rPr>
          <w:b w:val="1"/>
          <w:bCs w:val="1"/>
        </w:rPr>
        <w:t xml:space="preserve">[[@Bible:Re 7:1]] </w:t>
      </w:r>
      <w:r>
        <w:rPr>
          <w:sz w:val="22"/>
          <w:szCs w:val="22"/>
          <w:b w:val="1"/>
          <w:bCs w:val="1"/>
          <w:vertAlign w:val="superscript"/>
        </w:rPr>
        <w:t xml:space="preserve">1  </w:t>
      </w:r>
      <w:r>
        <w:rPr/>
        <w:t xml:space="preserve">And after these things I saw </w:t>
      </w:r>
      <w:r>
        <w:rPr>
          <w:b w:val="1"/>
          <w:bCs w:val="1"/>
        </w:rPr>
        <w:t xml:space="preserve">four messengers</w:t>
      </w:r>
      <w:r>
        <w:rPr/>
        <w:t xml:space="preserve"> </w:t>
      </w:r>
      <w:r>
        <w:rPr>
          <w:rStyle w:val="FootnoteReference"/>
        </w:rPr>
        <w:footnoteReference w:id="245"/>
      </w:r>
      <w:r>
        <w:rPr/>
        <w:t xml:space="preserve"> </w:t>
      </w:r>
      <w:r>
        <w:rPr>
          <w:color w:val="4A6FA5"/>
          <w:sz w:val="18"/>
          <w:szCs w:val="18"/>
        </w:rPr>
        <w:t xml:space="preserve"> (4m4w</w:t>
      </w:r>
      <w:r>
        <w:rPr>
          <w:rStyle w:val="FootnoteReference"/>
        </w:rPr>
        <w:footnoteReference w:id="246"/>
      </w:r>
      <w:r>
        <w:rPr>
          <w:color w:val="4A6FA5"/>
          <w:sz w:val="18"/>
          <w:szCs w:val="18"/>
        </w:rPr>
        <w:t xml:space="preserve">) </w:t>
      </w:r>
      <w:r>
        <w:rPr/>
        <w:t xml:space="preserve"> standing on the four corners of the earth, </w:t>
      </w:r>
      <w:r>
        <w:rPr>
          <w:b w:val="1"/>
          <w:bCs w:val="1"/>
        </w:rPr>
        <w:t xml:space="preserve">holding the four winds of the earth</w:t>
      </w:r>
      <w:r>
        <w:rPr/>
        <w:t xml:space="preserve"> </w:t>
      </w:r>
      <w:r>
        <w:rPr>
          <w:color w:val="4A6FA5"/>
          <w:sz w:val="18"/>
          <w:szCs w:val="18"/>
        </w:rPr>
        <w:t xml:space="preserve"> (4m4w</w:t>
      </w:r>
      <w:r>
        <w:rPr>
          <w:rStyle w:val="FootnoteReference"/>
        </w:rPr>
        <w:footnoteReference w:id="247"/>
      </w:r>
      <w:r>
        <w:rPr>
          <w:color w:val="4A6FA5"/>
          <w:sz w:val="18"/>
          <w:szCs w:val="18"/>
        </w:rPr>
        <w:t xml:space="preserve">) </w:t>
      </w:r>
      <w:r>
        <w:rPr/>
        <w:t xml:space="preserve">, that the wind should not blow on the earth, nor on the sea, nor on any tree.</w:t>
      </w:r>
    </w:p>
    <w:p>
      <w:pPr>
        <w:spacing w:after="150"/>
      </w:pPr>
      <w:r>
        <w:rPr/>
        <w:t xml:space="preserve"/>
      </w:r>
    </w:p>
    <w:p>
      <w:pPr>
        <w:pStyle w:val="Heading3"/>
      </w:pPr>
      <w:bookmarkStart w:id="33" w:name="_Toc33"/>
      <w:r>
        <w:t>Angel Ascends From The East</w:t>
      </w:r>
      <w:bookmarkEnd w:id="33"/>
    </w:p>
    <w:p>
      <w:pPr>
        <w:pStyle w:val="BodyVerse"/>
      </w:pPr>
      <w:r>
        <w:rPr>
          <w:b w:val="1"/>
          <w:bCs w:val="1"/>
        </w:rPr>
        <w:t xml:space="preserve">[[@Bible:Re 7:2]] </w:t>
      </w:r>
      <w:r>
        <w:rPr>
          <w:sz w:val="22"/>
          <w:szCs w:val="22"/>
          <w:b w:val="1"/>
          <w:bCs w:val="1"/>
          <w:vertAlign w:val="superscript"/>
        </w:rPr>
        <w:t xml:space="preserve">2  </w:t>
      </w:r>
      <w:r>
        <w:rPr/>
        <w:t xml:space="preserve">And I saw another messenger ascending from the rising of the sun, having the </w:t>
      </w:r>
      <w:r>
        <w:rPr>
          <w:b w:val="1"/>
          <w:bCs w:val="1"/>
        </w:rPr>
        <w:t xml:space="preserve">seal of the living God</w:t>
      </w:r>
      <w:r>
        <w:rPr/>
        <w:t xml:space="preserve"> </w:t>
      </w:r>
      <w:r>
        <w:rPr>
          <w:color w:val="4A6FA5"/>
          <w:sz w:val="18"/>
          <w:szCs w:val="18"/>
        </w:rPr>
        <w:t xml:space="preserve"> (fn</w:t>
      </w:r>
      <w:r>
        <w:rPr>
          <w:rStyle w:val="FootnoteReference"/>
        </w:rPr>
        <w:footnoteReference w:id="248"/>
      </w:r>
      <w:r>
        <w:rPr>
          <w:color w:val="4A6FA5"/>
          <w:sz w:val="18"/>
          <w:szCs w:val="18"/>
        </w:rPr>
        <w:t xml:space="preserve">) </w:t>
      </w:r>
      <w:r>
        <w:rPr/>
        <w:t xml:space="preserve"> </w:t>
      </w:r>
      <w:r>
        <w:rPr>
          <w:rStyle w:val="FootnoteReference"/>
        </w:rPr>
        <w:footnoteReference w:id="249"/>
      </w:r>
      <w:r>
        <w:rPr/>
        <w:t xml:space="preserve"> </w:t>
      </w:r>
      <w:r>
        <w:rPr>
          <w:rStyle w:val="FootnoteReference"/>
        </w:rPr>
        <w:footnoteReference w:id="250"/>
      </w:r>
      <w:r>
        <w:rPr/>
        <w:t xml:space="preserve">: and he cried with a great voice to the </w:t>
      </w:r>
      <w:r>
        <w:rPr>
          <w:b w:val="1"/>
          <w:bCs w:val="1"/>
        </w:rPr>
        <w:t xml:space="preserve">four messengers</w:t>
      </w:r>
      <w:r>
        <w:rPr/>
        <w:t xml:space="preserve"> </w:t>
      </w:r>
      <w:r>
        <w:rPr>
          <w:rStyle w:val="FootnoteReference"/>
        </w:rPr>
        <w:footnoteReference w:id="251"/>
      </w:r>
      <w:r>
        <w:rPr/>
        <w:t xml:space="preserve"> </w:t>
      </w:r>
      <w:r>
        <w:rPr>
          <w:rStyle w:val="FootnoteReference"/>
        </w:rPr>
        <w:footnoteReference w:id="252"/>
      </w:r>
      <w:r>
        <w:rPr/>
        <w:t xml:space="preserve">, to whom it was given to hurt the earth and the sea,</w:t>
      </w:r>
    </w:p>
    <w:p>
      <w:pPr>
        <w:jc w:val="left"/>
        <w:ind w:left="360" w:right="0" w:firstLine="0" w:hanging="0"/>
        <w:spacing w:after="60"/>
      </w:pPr>
      <w:r>
        <w:rPr>
          <w:sz w:val="18"/>
          <w:szCs w:val="18"/>
          <w:i w:val="1"/>
          <w:iCs w:val="1"/>
        </w:rPr>
        <w:t xml:space="preserve">[fn] “The rising” (Greek ἀνατολή) is the ordinary term for “east,” derived from the direction of the sun’s rising. Thus “from the rising of the sun” (ἀπὸ ἀνατολῆς ἡλίου) is a more explicit expression meaning “from the east,” preserving a vivid and literal manner of speech.</w:t>
      </w:r>
    </w:p>
    <w:p>
      <w:pPr>
        <w:jc w:val="left"/>
        <w:ind w:left="360" w:right="0" w:firstLine="0" w:hanging="0"/>
        <w:spacing w:after="60"/>
      </w:pPr>
      <w:r>
        <w:rPr>
          <w:sz w:val="18"/>
          <w:szCs w:val="18"/>
          <w:i w:val="1"/>
          <w:iCs w:val="1"/>
        </w:rPr>
        <w:t xml:space="preserve">[fn] They are told not to hear "the earth and the sea". It does not include the heavens. This points to affects on the lower earth.</w:t>
      </w:r>
    </w:p>
    <w:p>
      <w:pPr>
        <w:pStyle w:val="BodyVerse"/>
      </w:pPr>
      <w:r>
        <w:rPr>
          <w:b w:val="1"/>
          <w:bCs w:val="1"/>
        </w:rPr>
        <w:t xml:space="preserve">[[@Bible:Re 7:3]] </w:t>
      </w:r>
      <w:r>
        <w:rPr>
          <w:sz w:val="22"/>
          <w:szCs w:val="22"/>
          <w:b w:val="1"/>
          <w:bCs w:val="1"/>
          <w:vertAlign w:val="superscript"/>
        </w:rPr>
        <w:t xml:space="preserve">3  </w:t>
      </w:r>
      <w:r>
        <w:rPr/>
        <w:t xml:space="preserve">Saying, Hurt not the earth, neither the sea, nor the trees, till </w:t>
      </w:r>
      <w:r>
        <w:rPr>
          <w:b w:val="1"/>
          <w:bCs w:val="1"/>
        </w:rPr>
        <w:t xml:space="preserve">we have sealed the servants of our God in their foreheads</w:t>
      </w:r>
      <w:r>
        <w:rPr/>
        <w:t xml:space="preserve"> </w:t>
      </w:r>
      <w:r>
        <w:rPr>
          <w:rStyle w:val="FootnoteReference"/>
        </w:rPr>
        <w:footnoteReference w:id="253"/>
      </w:r>
      <w:r>
        <w:rPr/>
        <w:t xml:space="preserve"> </w:t>
      </w:r>
      <w:r>
        <w:rPr>
          <w:rStyle w:val="FootnoteReference"/>
        </w:rPr>
        <w:footnoteReference w:id="254"/>
      </w:r>
      <w:r>
        <w:rPr/>
        <w:t xml:space="preserve">.</w:t>
      </w:r>
    </w:p>
    <w:p>
      <w:pPr>
        <w:jc w:val="left"/>
        <w:ind w:left="360" w:right="0" w:firstLine="0" w:hanging="0"/>
        <w:spacing w:after="60"/>
      </w:pPr>
      <w:r>
        <w:rPr>
          <w:sz w:val="18"/>
          <w:szCs w:val="18"/>
          <w:i w:val="1"/>
          <w:iCs w:val="1"/>
        </w:rPr>
        <w:t xml:space="preserve">[fn] "We" seems to indicate a leader angel among equals.</w:t>
      </w:r>
    </w:p>
    <w:p>
      <w:pPr>
        <w:spacing w:after="150"/>
      </w:pPr>
      <w:r>
        <w:rPr/>
        <w:t xml:space="preserve"/>
      </w:r>
    </w:p>
    <w:p>
      <w:pPr>
        <w:pStyle w:val="Heading3"/>
      </w:pPr>
      <w:bookmarkStart w:id="34" w:name="_Toc34"/>
      <w:r>
        <w:t>The 144,000: Dan Missing</w:t>
      </w:r>
      <w:bookmarkEnd w:id="34"/>
    </w:p>
    <w:p>
      <w:pPr>
        <w:pStyle w:val="SectionBody"/>
      </w:pPr>
      <w:r>
        <w:rPr>
          <w:b w:val="1"/>
          <w:bCs w:val="1"/>
        </w:rPr>
        <w:t xml:space="preserve">Important Note:</w:t>
      </w:r>
      <w:r>
        <w:rPr/>
        <w:t xml:space="preserve"> Juda is listed first. The tribe of Dan is missing, like Judas in John 17.</w:t>
      </w:r>
    </w:p>
    <w:p>
      <w:pPr>
        <w:spacing w:after="150"/>
      </w:pPr>
      <w:r>
        <w:rPr/>
        <w:t xml:space="preserve"/>
      </w:r>
    </w:p>
    <w:p>
      <w:pPr>
        <w:pStyle w:val="BodyVerse"/>
      </w:pPr>
      <w:r>
        <w:rPr>
          <w:b w:val="1"/>
          <w:bCs w:val="1"/>
        </w:rPr>
        <w:t xml:space="preserve">[[@Bible:Re 7:4]] </w:t>
      </w:r>
      <w:r>
        <w:rPr>
          <w:sz w:val="22"/>
          <w:szCs w:val="22"/>
          <w:b w:val="1"/>
          <w:bCs w:val="1"/>
          <w:vertAlign w:val="superscript"/>
        </w:rPr>
        <w:t xml:space="preserve">4  </w:t>
      </w:r>
      <w:r>
        <w:rPr/>
        <w:t xml:space="preserve">And I heard the number of them which were sealed: and there were sealed an hundred and forty and four thousand of all the </w:t>
      </w:r>
      <w:r>
        <w:rPr>
          <w:b w:val="1"/>
          <w:bCs w:val="1"/>
        </w:rPr>
        <w:t xml:space="preserve">tribes of the sons of Israel</w:t>
      </w:r>
      <w:r>
        <w:rPr/>
        <w:t xml:space="preserve"> </w:t>
      </w:r>
      <w:r>
        <w:rPr>
          <w:color w:val="4A6FA5"/>
          <w:sz w:val="18"/>
          <w:szCs w:val="18"/>
        </w:rPr>
        <w:t xml:space="preserve"> (e</w:t>
      </w:r>
      <w:r>
        <w:rPr>
          <w:rStyle w:val="FootnoteReference"/>
        </w:rPr>
        <w:footnoteReference w:id="255"/>
      </w:r>
      <w:r>
        <w:rPr>
          <w:color w:val="4A6FA5"/>
          <w:sz w:val="18"/>
          <w:szCs w:val="18"/>
        </w:rPr>
        <w:t xml:space="preserve">) </w:t>
      </w:r>
      <w:r>
        <w:rPr/>
        <w:t xml:space="preserve"> </w:t>
      </w:r>
      <w:r>
        <w:rPr>
          <w:rStyle w:val="FootnoteReference"/>
        </w:rPr>
        <w:footnoteReference w:id="256"/>
      </w:r>
      <w:r>
        <w:rPr/>
        <w:t xml:space="preserve">.</w:t>
      </w:r>
    </w:p>
    <w:p>
      <w:pPr>
        <w:pStyle w:val="BodyVerse"/>
      </w:pPr>
      <w:r>
        <w:rPr>
          <w:b w:val="1"/>
          <w:bCs w:val="1"/>
        </w:rPr>
        <w:t xml:space="preserve">[[@Bible:Re 7:5]] </w:t>
      </w:r>
      <w:r>
        <w:rPr>
          <w:sz w:val="22"/>
          <w:szCs w:val="22"/>
          <w:b w:val="1"/>
          <w:bCs w:val="1"/>
          <w:vertAlign w:val="superscript"/>
        </w:rPr>
        <w:t xml:space="preserve">5  </w:t>
      </w:r>
      <w:r>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2"/>
          <w:szCs w:val="22"/>
          <w:b w:val="1"/>
          <w:bCs w:val="1"/>
          <w:vertAlign w:val="superscript"/>
        </w:rPr>
        <w:t xml:space="preserve">6  </w:t>
      </w:r>
      <w:r>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2"/>
          <w:szCs w:val="22"/>
          <w:b w:val="1"/>
          <w:bCs w:val="1"/>
          <w:vertAlign w:val="superscript"/>
        </w:rPr>
        <w:t xml:space="preserve">7  </w:t>
      </w:r>
      <w:r>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2"/>
          <w:szCs w:val="22"/>
          <w:b w:val="1"/>
          <w:bCs w:val="1"/>
          <w:vertAlign w:val="superscript"/>
        </w:rPr>
        <w:t xml:space="preserve">8  </w:t>
      </w:r>
      <w:r>
        <w:rPr/>
        <w:t xml:space="preserve">Of the tribe of Zabulon were sealed twelve thousand. Of the tribe of Joseph were sealed twelve thousand. Of the tribe of Benjamin were sealed twelve thousand.</w:t>
      </w:r>
    </w:p>
    <w:p>
      <w:pPr>
        <w:spacing w:after="150"/>
      </w:pPr>
      <w:r>
        <w:rPr/>
        <w:t xml:space="preserve"/>
      </w:r>
    </w:p>
    <w:p>
      <w:pPr>
        <w:pStyle w:val="Heading3"/>
      </w:pPr>
      <w:bookmarkStart w:id="35" w:name="_Toc35"/>
      <w:r>
        <w:t>Immense Multitude Come Out of Great Tribulation</w:t>
      </w:r>
      <w:bookmarkEnd w:id="35"/>
    </w:p>
    <w:p>
      <w:pPr>
        <w:pStyle w:val="SectionBody"/>
      </w:pPr>
      <w:r>
        <w:rPr>
          <w:b w:val="1"/>
          <w:bCs w:val="1"/>
        </w:rPr>
        <w:t xml:space="preserve">Important Note:</w:t>
      </w:r>
      <w:r>
        <w:rPr/>
        <w:t xml:space="preserve"> This mirrors Revelation 19:1-5. A great multitude of people saying, "Salvation, glory, honor, power, unto our God." As we read Revelation 7:9-12, it is very possible that the angels in 7:11 are the same group described in Revelation 5:11. It is also important to understand that Revelation 7:9-17 is not telescoping into the far future; rather, it affirms that the two groups—the 144,000 and the great multitude—are being shown together at the same time. In biblical studies, telescoping refers to the compression of events that occur at different times into a single scene, making them appear simultaneous even though they unfold separately in history. Again, telescoping is highly unlikely in Revelation 7.</w:t>
      </w:r>
    </w:p>
    <w:p>
      <w:pPr>
        <w:spacing w:after="150"/>
      </w:pPr>
      <w:r>
        <w:rPr/>
        <w:t xml:space="preserve"/>
      </w:r>
    </w:p>
    <w:p>
      <w:pPr>
        <w:pStyle w:val="BodyVerse"/>
      </w:pPr>
      <w:r>
        <w:rPr>
          <w:b w:val="1"/>
          <w:bCs w:val="1"/>
        </w:rPr>
        <w:t xml:space="preserve">[[@Bible:Re 7:9]] </w:t>
      </w:r>
      <w:r>
        <w:rPr>
          <w:sz w:val="22"/>
          <w:szCs w:val="22"/>
          <w:b w:val="1"/>
          <w:bCs w:val="1"/>
          <w:vertAlign w:val="superscript"/>
        </w:rPr>
        <w:t xml:space="preserve">9  </w:t>
      </w:r>
      <w:r>
        <w:rPr/>
        <w:t xml:space="preserve">After this I beheld, and, lo, </w:t>
      </w:r>
      <w:r>
        <w:rPr>
          <w:b w:val="1"/>
          <w:bCs w:val="1"/>
        </w:rPr>
        <w:t xml:space="preserve">a multitude of many, which none could number, of all nations, and kindreds, and people, and tongues</w:t>
      </w:r>
      <w:r>
        <w:rPr/>
        <w:t xml:space="preserve"> </w:t>
      </w:r>
      <w:r>
        <w:rPr>
          <w:rStyle w:val="FootnoteReference"/>
        </w:rPr>
        <w:footnoteReference w:id="257"/>
      </w:r>
      <w:r>
        <w:rPr/>
        <w:t xml:space="preserve"> </w:t>
      </w:r>
      <w:r>
        <w:rPr>
          <w:color w:val="4A6FA5"/>
          <w:sz w:val="18"/>
          <w:szCs w:val="18"/>
        </w:rPr>
        <w:t xml:space="preserve"> (im</w:t>
      </w:r>
      <w:r>
        <w:rPr>
          <w:rStyle w:val="FootnoteReference"/>
        </w:rPr>
        <w:footnoteReference w:id="258"/>
      </w:r>
      <w:r>
        <w:rPr>
          <w:color w:val="4A6FA5"/>
          <w:sz w:val="18"/>
          <w:szCs w:val="18"/>
        </w:rPr>
        <w:t xml:space="preserve">) </w:t>
      </w:r>
      <w:r>
        <w:rPr/>
        <w:t xml:space="preserve">, stood before the </w:t>
      </w:r>
      <w:r>
        <w:rPr>
          <w:b w:val="1"/>
          <w:bCs w:val="1"/>
        </w:rPr>
        <w:t xml:space="preserve">throne</w:t>
      </w:r>
      <w:r>
        <w:rPr/>
        <w:t xml:space="preserve"> </w:t>
      </w:r>
      <w:r>
        <w:rPr>
          <w:color w:val="4A6FA5"/>
          <w:sz w:val="18"/>
          <w:szCs w:val="18"/>
        </w:rPr>
        <w:t xml:space="preserve"> (h</w:t>
      </w:r>
      <w:r>
        <w:rPr>
          <w:rStyle w:val="FootnoteReference"/>
        </w:rPr>
        <w:footnoteReference w:id="259"/>
      </w:r>
      <w:r>
        <w:rPr>
          <w:color w:val="4A6FA5"/>
          <w:sz w:val="18"/>
          <w:szCs w:val="18"/>
        </w:rPr>
        <w:t xml:space="preserve">) </w:t>
      </w:r>
      <w:r>
        <w:rPr/>
        <w:t xml:space="preserve">, and before the Lamb, clothed with </w:t>
      </w:r>
      <w:r>
        <w:rPr>
          <w:b w:val="1"/>
          <w:bCs w:val="1"/>
        </w:rPr>
        <w:t xml:space="preserve">white robes</w:t>
      </w:r>
      <w:r>
        <w:rPr/>
        <w:t xml:space="preserve"> </w:t>
      </w:r>
      <w:r>
        <w:rPr>
          <w:rStyle w:val="FootnoteReference"/>
        </w:rPr>
        <w:footnoteReference w:id="260"/>
      </w:r>
      <w:r>
        <w:rPr/>
        <w:t xml:space="preserve">, and </w:t>
      </w:r>
      <w:r>
        <w:rPr>
          <w:b w:val="1"/>
          <w:bCs w:val="1"/>
        </w:rPr>
        <w:t xml:space="preserve">palms in their hands;</w:t>
      </w:r>
      <w:r>
        <w:rPr/>
        <w:t xml:space="preserve"> </w:t>
      </w:r>
      <w:r>
        <w:rPr>
          <w:rStyle w:val="FootnoteReference"/>
        </w:rPr>
        <w:footnoteReference w:id="261"/>
      </w:r>
    </w:p>
    <w:p>
      <w:pPr>
        <w:jc w:val="left"/>
        <w:ind w:left="360" w:right="0" w:firstLine="0" w:hanging="0"/>
        <w:spacing w:after="60"/>
      </w:pPr>
      <w:r>
        <w:rPr>
          <w:sz w:val="18"/>
          <w:szCs w:val="18"/>
          <w:i w:val="1"/>
          <w:iCs w:val="1"/>
        </w:rPr>
        <w:t xml:space="preserve">[fn] These are not the angels in Revelation 5:11 as they have a number and this multitude has no number. The text is making the distinction clear.</w:t>
      </w:r>
    </w:p>
    <w:p>
      <w:pPr>
        <w:pStyle w:val="BodyVerse"/>
      </w:pPr>
      <w:r>
        <w:rPr>
          <w:b w:val="1"/>
          <w:bCs w:val="1"/>
        </w:rPr>
        <w:t xml:space="preserve">[[@Bible:Re 7:10]] </w:t>
      </w:r>
      <w:r>
        <w:rPr>
          <w:sz w:val="22"/>
          <w:szCs w:val="22"/>
          <w:b w:val="1"/>
          <w:bCs w:val="1"/>
          <w:vertAlign w:val="superscript"/>
        </w:rPr>
        <w:t xml:space="preserve">10  </w:t>
      </w:r>
      <w:r>
        <w:rPr/>
        <w:t xml:space="preserve">And cried with a great voice, saying, </w:t>
      </w:r>
      <w:r>
        <w:rPr>
          <w:b w:val="1"/>
          <w:bCs w:val="1"/>
        </w:rPr>
        <w:t xml:space="preserve">Salvation to our God who sits upon the throne, and unto the Lamb</w:t>
      </w:r>
      <w:r>
        <w:rPr/>
        <w:t xml:space="preserve"> </w:t>
      </w:r>
      <w:r>
        <w:rPr>
          <w:color w:val="4A6FA5"/>
          <w:sz w:val="18"/>
          <w:szCs w:val="18"/>
        </w:rPr>
        <w:t xml:space="preserve"> (g</w:t>
      </w:r>
      <w:r>
        <w:rPr>
          <w:rStyle w:val="FootnoteReference"/>
        </w:rPr>
        <w:footnoteReference w:id="262"/>
      </w:r>
      <w:r>
        <w:rPr>
          <w:color w:val="4A6FA5"/>
          <w:sz w:val="18"/>
          <w:szCs w:val="18"/>
        </w:rPr>
        <w:t xml:space="preserve">) </w:t>
      </w:r>
      <w:r>
        <w:rPr/>
        <w:t xml:space="preserve">.</w:t>
      </w:r>
    </w:p>
    <w:p>
      <w:pPr>
        <w:pStyle w:val="BodyVerse"/>
      </w:pPr>
      <w:r>
        <w:rPr>
          <w:b w:val="1"/>
          <w:bCs w:val="1"/>
        </w:rPr>
        <w:t xml:space="preserve">[[@Bible:Re 7:11]] </w:t>
      </w:r>
      <w:r>
        <w:rPr>
          <w:sz w:val="22"/>
          <w:szCs w:val="22"/>
          <w:b w:val="1"/>
          <w:bCs w:val="1"/>
          <w:vertAlign w:val="superscript"/>
        </w:rPr>
        <w:t xml:space="preserve">11  </w:t>
      </w:r>
      <w:r>
        <w:rPr/>
        <w:t xml:space="preserve">And </w:t>
      </w:r>
      <w:r>
        <w:rPr>
          <w:b w:val="1"/>
          <w:bCs w:val="1"/>
        </w:rPr>
        <w:t xml:space="preserve">all the messengers stood round about the throne</w:t>
      </w:r>
      <w:r>
        <w:rPr/>
        <w:t xml:space="preserve"> </w:t>
      </w:r>
      <w:r>
        <w:rPr>
          <w:color w:val="4A6FA5"/>
          <w:sz w:val="18"/>
          <w:szCs w:val="18"/>
        </w:rPr>
        <w:t xml:space="preserve"> (x</w:t>
      </w:r>
      <w:r>
        <w:rPr>
          <w:rStyle w:val="FootnoteReference"/>
        </w:rPr>
        <w:footnoteReference w:id="263"/>
      </w:r>
      <w:r>
        <w:rPr>
          <w:color w:val="4A6FA5"/>
          <w:sz w:val="18"/>
          <w:szCs w:val="18"/>
        </w:rPr>
        <w:t xml:space="preserve">) </w:t>
      </w:r>
      <w:r>
        <w:rPr/>
        <w:t xml:space="preserve"> </w:t>
      </w:r>
      <w:r>
        <w:rPr>
          <w:rStyle w:val="FootnoteReference"/>
        </w:rPr>
        <w:footnoteReference w:id="264"/>
      </w:r>
      <w:r>
        <w:rPr/>
        <w:t xml:space="preserve"> and </w:t>
      </w:r>
      <w:r>
        <w:rPr/>
        <w:t xml:space="preserve"> the </w:t>
      </w:r>
      <w:r>
        <w:rPr>
          <w:b w:val="1"/>
          <w:bCs w:val="1"/>
        </w:rPr>
        <w:t xml:space="preserve">elders</w:t>
      </w:r>
      <w:r>
        <w:rPr/>
        <w:t xml:space="preserve"> </w:t>
      </w:r>
      <w:r>
        <w:rPr>
          <w:rStyle w:val="FootnoteReference"/>
        </w:rPr>
        <w:footnoteReference w:id="265"/>
      </w:r>
      <w:r>
        <w:rPr/>
        <w:t xml:space="preserve"> and the four </w:t>
      </w:r>
      <w:r>
        <w:rPr>
          <w:b w:val="1"/>
          <w:bCs w:val="1"/>
        </w:rPr>
        <w:t xml:space="preserve">beasts</w:t>
      </w:r>
      <w:r>
        <w:rPr/>
        <w:t xml:space="preserve"> </w:t>
      </w:r>
      <w:r>
        <w:rPr>
          <w:rStyle w:val="FootnoteReference"/>
        </w:rPr>
        <w:footnoteReference w:id="266"/>
      </w:r>
      <w:r>
        <w:rPr/>
        <w:t xml:space="preserve">, and fell before the throne on their faces, and worshipped God,</w:t>
      </w:r>
    </w:p>
    <w:p>
      <w:pPr>
        <w:pStyle w:val="BodyVerse"/>
      </w:pPr>
      <w:r>
        <w:rPr>
          <w:b w:val="1"/>
          <w:bCs w:val="1"/>
        </w:rPr>
        <w:t xml:space="preserve">[[@Bible:Re 7:12]] </w:t>
      </w:r>
      <w:r>
        <w:rPr>
          <w:sz w:val="22"/>
          <w:szCs w:val="22"/>
          <w:b w:val="1"/>
          <w:bCs w:val="1"/>
          <w:vertAlign w:val="superscript"/>
        </w:rPr>
        <w:t xml:space="preserve">12  </w:t>
      </w:r>
      <w:r>
        <w:rPr/>
        <w:t xml:space="preserve">Saying, Amen: </w:t>
      </w:r>
      <w:r>
        <w:rPr>
          <w:b w:val="1"/>
          <w:bCs w:val="1"/>
        </w:rPr>
        <w:t xml:space="preserve">Blessing, and glory, and wisdom, and thanksgiving, and honor, and might, and strength, be unto our God forever and ever</w:t>
      </w:r>
      <w:r>
        <w:rPr/>
        <w:t xml:space="preserve"> </w:t>
      </w:r>
      <w:r>
        <w:rPr>
          <w:color w:val="4A6FA5"/>
          <w:sz w:val="18"/>
          <w:szCs w:val="18"/>
        </w:rPr>
        <w:t xml:space="preserve"> (x</w:t>
      </w:r>
      <w:r>
        <w:rPr>
          <w:rStyle w:val="FootnoteReference"/>
        </w:rPr>
        <w:footnoteReference w:id="267"/>
      </w:r>
      <w:r>
        <w:rPr>
          <w:color w:val="4A6FA5"/>
          <w:sz w:val="18"/>
          <w:szCs w:val="18"/>
        </w:rPr>
        <w:t xml:space="preserve">) </w:t>
      </w:r>
      <w:r>
        <w:rPr/>
        <w:t xml:space="preserve">. Amen.</w:t>
      </w:r>
    </w:p>
    <w:p>
      <w:pPr>
        <w:pStyle w:val="BodyVerse"/>
      </w:pPr>
      <w:r>
        <w:rPr>
          <w:b w:val="1"/>
          <w:bCs w:val="1"/>
        </w:rPr>
        <w:t xml:space="preserve">[[@Bible:Re 7:13]] </w:t>
      </w:r>
      <w:r>
        <w:rPr>
          <w:sz w:val="22"/>
          <w:szCs w:val="22"/>
          <w:b w:val="1"/>
          <w:bCs w:val="1"/>
          <w:vertAlign w:val="superscript"/>
        </w:rPr>
        <w:t xml:space="preserve">13  </w:t>
      </w:r>
      <w:r>
        <w:rPr/>
        <w:t xml:space="preserve">And </w:t>
      </w:r>
      <w:r>
        <w:rPr>
          <w:b w:val="1"/>
          <w:bCs w:val="1"/>
        </w:rPr>
        <w:t xml:space="preserve">one of the elders answered</w:t>
      </w:r>
      <w:r>
        <w:rPr/>
        <w:t xml:space="preserve"> </w:t>
      </w:r>
      <w:r>
        <w:rPr>
          <w:rStyle w:val="FootnoteReference"/>
        </w:rPr>
        <w:footnoteReference w:id="268"/>
      </w:r>
      <w:r>
        <w:rPr/>
        <w:t xml:space="preserve">, saying unto me, Who are </w:t>
      </w:r>
      <w:r>
        <w:rPr>
          <w:b w:val="1"/>
          <w:bCs w:val="1"/>
        </w:rPr>
        <w:t xml:space="preserve">these which are arrayed in white robes</w:t>
      </w:r>
      <w:r>
        <w:rPr/>
        <w:t xml:space="preserve"> </w:t>
      </w:r>
      <w:r>
        <w:rPr>
          <w:rStyle w:val="FootnoteReference"/>
        </w:rPr>
        <w:footnoteReference w:id="269"/>
      </w:r>
      <w:r>
        <w:rPr/>
        <w:t xml:space="preserve">? And from where have they come?</w:t>
      </w:r>
    </w:p>
    <w:p>
      <w:pPr>
        <w:pStyle w:val="BodyVerse"/>
      </w:pPr>
      <w:r>
        <w:rPr>
          <w:b w:val="1"/>
          <w:bCs w:val="1"/>
        </w:rPr>
        <w:t xml:space="preserve">[[@Bible:Re 7:14]] </w:t>
      </w:r>
      <w:r>
        <w:rPr>
          <w:sz w:val="22"/>
          <w:szCs w:val="22"/>
          <w:b w:val="1"/>
          <w:bCs w:val="1"/>
          <w:vertAlign w:val="superscript"/>
        </w:rPr>
        <w:t xml:space="preserve">14  </w:t>
      </w:r>
      <w:r>
        <w:rPr/>
        <w:t xml:space="preserve">And I said unto him, Sir, you know. And he said to me, These are </w:t>
      </w:r>
      <w:r>
        <w:rPr>
          <w:b w:val="1"/>
          <w:bCs w:val="1"/>
        </w:rPr>
        <w:t xml:space="preserve">they who are coming out of great tribulation</w:t>
      </w:r>
      <w:r>
        <w:rPr/>
        <w:t xml:space="preserve"> </w:t>
      </w:r>
      <w:r>
        <w:rPr>
          <w:color w:val="4A6FA5"/>
          <w:sz w:val="18"/>
          <w:szCs w:val="18"/>
        </w:rPr>
        <w:t xml:space="preserve"> (r</w:t>
      </w:r>
      <w:r>
        <w:rPr>
          <w:rStyle w:val="FootnoteReference"/>
        </w:rPr>
        <w:footnoteReference w:id="270"/>
      </w:r>
      <w:r>
        <w:rPr>
          <w:color w:val="4A6FA5"/>
          <w:sz w:val="18"/>
          <w:szCs w:val="18"/>
        </w:rPr>
        <w:t xml:space="preserve">) </w:t>
      </w:r>
      <w:r>
        <w:rPr/>
        <w:t xml:space="preserve">, and </w:t>
      </w:r>
      <w:r>
        <w:rPr>
          <w:b w:val="1"/>
          <w:bCs w:val="1"/>
        </w:rPr>
        <w:t xml:space="preserve">have washed their robes</w:t>
      </w:r>
      <w:r>
        <w:rPr/>
        <w:t xml:space="preserve"> </w:t>
      </w:r>
      <w:r>
        <w:rPr>
          <w:rStyle w:val="FootnoteReference"/>
        </w:rPr>
        <w:footnoteReference w:id="271"/>
      </w:r>
      <w:r>
        <w:rPr/>
        <w:t xml:space="preserve">, and made them </w:t>
      </w:r>
      <w:r>
        <w:rPr>
          <w:b w:val="1"/>
          <w:bCs w:val="1"/>
        </w:rPr>
        <w:t xml:space="preserve">white in the blood of the Lamb</w:t>
      </w:r>
      <w:r>
        <w:rPr/>
        <w:t xml:space="preserve"> </w:t>
      </w:r>
      <w:r>
        <w:rPr>
          <w:color w:val="4A6FA5"/>
          <w:sz w:val="18"/>
          <w:szCs w:val="18"/>
        </w:rPr>
        <w:t xml:space="preserve"> (lb</w:t>
      </w:r>
      <w:r>
        <w:rPr>
          <w:rStyle w:val="FootnoteReference"/>
        </w:rPr>
        <w:footnoteReference w:id="272"/>
      </w:r>
      <w:r>
        <w:rPr>
          <w:color w:val="4A6FA5"/>
          <w:sz w:val="18"/>
          <w:szCs w:val="18"/>
        </w:rPr>
        <w:t xml:space="preserve">) </w:t>
      </w:r>
      <w:r>
        <w:rPr/>
        <w:t xml:space="preserve"> </w:t>
      </w:r>
      <w:r>
        <w:rPr>
          <w:rStyle w:val="FootnoteReference"/>
        </w:rPr>
        <w:footnoteReference w:id="273"/>
      </w:r>
      <w:r>
        <w:rPr/>
        <w:t xml:space="preserve">.</w:t>
      </w:r>
    </w:p>
    <w:p>
      <w:pPr>
        <w:jc w:val="left"/>
        <w:ind w:left="360" w:right="0" w:firstLine="0" w:hanging="0"/>
        <w:spacing w:after="60"/>
      </w:pPr>
      <w:r>
        <w:rPr>
          <w:sz w:val="18"/>
          <w:szCs w:val="18"/>
          <w:i w:val="1"/>
          <w:iCs w:val="1"/>
        </w:rPr>
        <w:t xml:space="preserve">[fn] ESV says "coming out" instead of "came out". The ESV is better here than the KJV. The Greek identifies the multitude as οἱ ἐρχόμενοι ("the ones coming out") using a present participle, not a completed aorist. The ESV preserves this ("coming out"), while the KJV smooths it to "came out," likely because the group is already seen in heaven. The Greek, however, intentionally holds both together: the multitude is already present in heaven and yet defined by their act of emergence. This overlap signals a transitional moment, not a prolonged process. Read in context with the immediate counting of the 144,000 (Rev 7:1-8), the grammar points to a single coordinated event, with the sealing/counting on earth and the appearance of the great multitude in heaven occurring at the same time. This same "coming out" motif reappears in Rev 18:4 ("Come out of her, my people"), reinforcing the idea of a divinely commanded, quick exit rather than a drawn-out migration. Also, note how these are **not** described as "souls" or coming from under the altar; they are not dead but living. Revelation is very particular about who is a soul, dead, or living.</w:t>
      </w:r>
    </w:p>
    <w:p>
      <w:pPr>
        <w:pStyle w:val="BodyVerse"/>
      </w:pPr>
      <w:r>
        <w:rPr>
          <w:b w:val="1"/>
          <w:bCs w:val="1"/>
        </w:rPr>
        <w:t xml:space="preserve">[[@Bible:Re 7:15]] </w:t>
      </w:r>
      <w:r>
        <w:rPr>
          <w:sz w:val="22"/>
          <w:szCs w:val="22"/>
          <w:b w:val="1"/>
          <w:bCs w:val="1"/>
          <w:vertAlign w:val="superscript"/>
        </w:rPr>
        <w:t xml:space="preserve">15  </w:t>
      </w:r>
      <w:r>
        <w:rPr/>
        <w:t xml:space="preserve">Therefore, are </w:t>
      </w:r>
      <w:r>
        <w:rPr>
          <w:b w:val="1"/>
          <w:bCs w:val="1"/>
        </w:rPr>
        <w:t xml:space="preserve">they before the throne of God</w:t>
      </w:r>
      <w:r>
        <w:rPr/>
        <w:t xml:space="preserve"> </w:t>
      </w:r>
      <w:r>
        <w:rPr>
          <w:color w:val="4A6FA5"/>
          <w:sz w:val="18"/>
          <w:szCs w:val="18"/>
        </w:rPr>
        <w:t xml:space="preserve"> (h</w:t>
      </w:r>
      <w:r>
        <w:rPr>
          <w:rStyle w:val="FootnoteReference"/>
        </w:rPr>
        <w:footnoteReference w:id="274"/>
      </w:r>
      <w:r>
        <w:rPr>
          <w:color w:val="4A6FA5"/>
          <w:sz w:val="18"/>
          <w:szCs w:val="18"/>
        </w:rPr>
        <w:t xml:space="preserve">) </w:t>
      </w:r>
      <w:r>
        <w:rPr/>
        <w:t xml:space="preserve"> </w:t>
      </w:r>
      <w:r>
        <w:rPr>
          <w:rStyle w:val="FootnoteReference"/>
        </w:rPr>
        <w:footnoteReference w:id="275"/>
      </w:r>
      <w:r>
        <w:rPr/>
        <w:t xml:space="preserve">, and serve him day and night in his </w:t>
      </w:r>
      <w:r>
        <w:rPr>
          <w:b w:val="1"/>
          <w:bCs w:val="1"/>
        </w:rPr>
        <w:t xml:space="preserve">temple</w:t>
      </w:r>
      <w:r>
        <w:rPr/>
        <w:t xml:space="preserve"> </w:t>
      </w:r>
      <w:r>
        <w:rPr>
          <w:rStyle w:val="FootnoteReference"/>
        </w:rPr>
        <w:footnoteReference w:id="276"/>
      </w:r>
      <w:r>
        <w:rPr/>
        <w:t xml:space="preserve">: and he who sits on the throne shall </w:t>
      </w:r>
      <w:r>
        <w:rPr>
          <w:b w:val="1"/>
          <w:bCs w:val="1"/>
        </w:rPr>
        <w:t xml:space="preserve">dwell among them</w:t>
      </w:r>
      <w:r>
        <w:rPr/>
        <w:t xml:space="preserve"> </w:t>
      </w:r>
      <w:r>
        <w:rPr>
          <w:rStyle w:val="FootnoteReference"/>
        </w:rPr>
        <w:footnoteReference w:id="277"/>
      </w:r>
      <w:r>
        <w:rPr/>
        <w:t xml:space="preserve">.</w:t>
      </w:r>
    </w:p>
    <w:p>
      <w:pPr>
        <w:jc w:val="left"/>
        <w:ind w:left="360" w:right="0" w:firstLine="0" w:hanging="0"/>
        <w:spacing w:after="60"/>
      </w:pPr>
      <w:r>
        <w:rPr>
          <w:sz w:val="18"/>
          <w:szCs w:val="18"/>
          <w:i w:val="1"/>
          <w:iCs w:val="1"/>
        </w:rPr>
        <w:t xml:space="preserve">[fn] This is not the same moment as 21:22. In the New Jerusalem there is no temple (Revelation 21:22), yet in Revelation 7:15 the redeemed are described as serving God "in his temple." That distinction matters. Revelation 7 is therefore not describing the eternal state after the thousand years, but a scene in heaven prior to the final descent of the New Jerusalem. The presence of a temple in 7:15 indicates a heavenly setting before the consummation of Revelation 21-22. For that reason, and many others, we should not telescope these passages into one identical event. Instead, the text itself encourages us to see the sealing of the 144,000 (Revelation 7:1-8) and the great multitude before the throne (7:9-17) as occurring within the same redemptive moment — two perspectives on a coordinated heavenly and earthly scene — rather than forcing them into a later, post-millennial framework where no temple exists.</w:t>
      </w:r>
    </w:p>
    <w:p>
      <w:pPr>
        <w:pStyle w:val="BodyVerse"/>
      </w:pPr>
      <w:r>
        <w:rPr>
          <w:b w:val="1"/>
          <w:bCs w:val="1"/>
        </w:rPr>
        <w:t xml:space="preserve">[[@Bible:Re 7:16]] </w:t>
      </w:r>
      <w:r>
        <w:rPr>
          <w:sz w:val="22"/>
          <w:szCs w:val="22"/>
          <w:b w:val="1"/>
          <w:bCs w:val="1"/>
          <w:vertAlign w:val="superscript"/>
        </w:rPr>
        <w:t xml:space="preserve">16  </w:t>
      </w:r>
      <w:r>
        <w:rPr/>
        <w:t xml:space="preserve">They shall </w:t>
      </w:r>
      <w:r>
        <w:rPr>
          <w:b w:val="1"/>
          <w:bCs w:val="1"/>
        </w:rPr>
        <w:t xml:space="preserve">hunger no more, neither thirst any more</w:t>
      </w:r>
      <w:r>
        <w:rPr/>
        <w:t xml:space="preserve"> </w:t>
      </w:r>
      <w:r>
        <w:rPr>
          <w:rStyle w:val="FootnoteReference"/>
        </w:rPr>
        <w:footnoteReference w:id="278"/>
      </w:r>
      <w:r>
        <w:rPr/>
        <w:t xml:space="preserve">; neither shall the sun fall on them, nor any heat.</w:t>
      </w:r>
    </w:p>
    <w:p>
      <w:pPr>
        <w:jc w:val="left"/>
        <w:ind w:left="360" w:right="0" w:firstLine="0" w:hanging="0"/>
        <w:spacing w:after="60"/>
      </w:pPr>
      <w:r>
        <w:rPr>
          <w:sz w:val="18"/>
          <w:szCs w:val="18"/>
          <w:i w:val="1"/>
          <w:iCs w:val="1"/>
        </w:rPr>
        <w:t xml:space="preserve">[fn] Note that "shall hunger no more" is a future proposition not a present one for this group.</w:t>
      </w:r>
    </w:p>
    <w:p>
      <w:pPr>
        <w:pStyle w:val="BodyVerse"/>
      </w:pPr>
      <w:r>
        <w:rPr>
          <w:b w:val="1"/>
          <w:bCs w:val="1"/>
        </w:rPr>
        <w:t xml:space="preserve">[[@Bible:Re 7:17]] </w:t>
      </w:r>
      <w:r>
        <w:rPr>
          <w:sz w:val="22"/>
          <w:szCs w:val="22"/>
          <w:b w:val="1"/>
          <w:bCs w:val="1"/>
          <w:vertAlign w:val="superscript"/>
        </w:rPr>
        <w:t xml:space="preserve">17  </w:t>
      </w:r>
      <w:r>
        <w:rPr/>
        <w:t xml:space="preserve">For the Lamb which is in the midst of the throne shall shepherd them, and shall lead them unto living fountains of waters: and God shall wipe away all </w:t>
      </w:r>
      <w:r>
        <w:rPr>
          <w:b w:val="1"/>
          <w:bCs w:val="1"/>
        </w:rPr>
        <w:t xml:space="preserve">tears from their eyes</w:t>
      </w:r>
      <w:r>
        <w:rPr/>
        <w:t xml:space="preserve"> </w:t>
      </w:r>
      <w:r>
        <w:rPr>
          <w:rStyle w:val="FootnoteReference"/>
        </w:rPr>
        <w:footnoteReference w:id="279"/>
      </w:r>
      <w:r>
        <w:rPr/>
        <w:t xml:space="preserve">.</w:t>
      </w:r>
    </w:p>
    <w:p>
      <w:pPr>
        <w:jc w:val="left"/>
        <w:ind w:left="360" w:right="0" w:firstLine="0" w:hanging="0"/>
        <w:spacing w:after="60"/>
      </w:pPr>
      <w:r>
        <w:rPr>
          <w:sz w:val="18"/>
          <w:szCs w:val="18"/>
          <w:i w:val="1"/>
          <w:iCs w:val="1"/>
        </w:rPr>
        <w:t xml:space="preserve">[fn] ESV again is more accurate: "will be their shepherd" vs. "shall feed them"; in Greek, ποιμανει means "to shepherd, take care of sheep" instead of "shall feed them" in the KJV.</w:t>
      </w:r>
    </w:p>
    <w:p>
      <w:pPr>
        <w:jc w:val="center"/>
        <w:spacing w:before="120" w:after="60"/>
      </w:pPr>
      <w:r>
        <w:rPr>
          <w:sz w:val="36"/>
          <w:szCs w:val="36"/>
          <w:b w:val="1"/>
          <w:bCs w:val="1"/>
        </w:rPr>
        <w:t xml:space="preserve">✶</w:t>
      </w:r>
    </w:p>
    <w:p>
      <w:pPr>
        <w:pStyle w:val="Heading2"/>
      </w:pPr>
      <w:bookmarkStart w:id="36" w:name="_Toc36"/>
      <w:r>
        <w:t>The Seventh Seal: Voices, Thunders, Lightnings, and Earthquake</w:t>
      </w:r>
      <w:bookmarkEnd w:id="36"/>
    </w:p>
    <w:p>
      <w:pPr>
        <w:pStyle w:val="SectionBody"/>
      </w:pPr>
      <w:r>
        <w:rPr>
          <w:b w:val="1"/>
          <w:bCs w:val="1"/>
        </w:rPr>
        <w:t xml:space="preserve">Linear Scene 1.3:</w:t>
      </w:r>
      <w:r>
        <w:rPr/>
        <w:t xml:space="preserve"> Picking up the linear story from seal 6, we come to seal 7, which is the last of the seals. At the 7th of each plague group,  seals, trumpets, and vials, there are always "voices, and thunders, and lightnings, and an earthquake" with growing intensity. There is also hail that follows the earthquake. For the 7th seal, there is no hail following the earthquake until the first trumpet blows in 8:7. There is not just symmetry; the 7th seal, 7th trumpet, and 7th vial. There is symmetry throughout, but we should not mistake that symmetry for the simultaneous occurrence of the different plagues all at once.</w:t>
      </w:r>
    </w:p>
    <w:p>
      <w:pPr>
        <w:pStyle w:val="SectionBody"/>
      </w:pPr>
      <w:r>
        <w:rPr>
          <w:b w:val="1"/>
          <w:bCs w:val="1"/>
        </w:rPr>
        <w:t xml:space="preserve">Important Note</w:t>
      </w:r>
      <w:r>
        <w:rPr/>
        <w:t xml:space="preserve">: We can see that the text prevents us from reading a simultaneous occurrence, because the seven angels who blow the 7 trumpets appear at the time of the 7th seal plague. This eliminates the possibility of those angels sounding at the time of the 1st seal, as they do not appear until the 7th. So, trumpets cannot appear before seal judgments (as some interpreters suggest). The plagues simply transition smoothly into the next symbolic set, and their symmetry exists to communicate God's order in what appears to be chaos. The symmetry also poetically conveys His authority over all creation: the earth and trees and grass that give life, sea life, the waters of life, and the heavenly lights (Revelation 14:7).</w:t>
      </w:r>
    </w:p>
    <w:p>
      <w:pPr>
        <w:pStyle w:val="SectionBody"/>
      </w:pPr>
      <w:r>
        <w:rPr>
          <w:b w:val="1"/>
          <w:bCs w:val="1"/>
        </w:rPr>
        <w:t xml:space="preserve">Note</w:t>
      </w:r>
      <w:r>
        <w:rPr/>
        <w:t xml:space="preserve">: These trumpet plagues might mirror Ezekiel 5:2, 5:12's thirds: one third by fire (falling fiery stars), one third by sword (200,000,000 army also with fire), and then in the 7th trumpet, the final third "thou shalt scatter in the wind; and I will draw out a sword after them…".</w:t>
      </w:r>
    </w:p>
    <w:p>
      <w:pPr>
        <w:spacing w:after="150"/>
      </w:pPr>
      <w:r>
        <w:rPr/>
        <w:t xml:space="preserve"/>
      </w:r>
    </w:p>
    <w:p>
      <w:pPr>
        <w:pStyle w:val="BodyVerse"/>
      </w:pPr>
      <w:r>
        <w:rPr>
          <w:b w:val="1"/>
          <w:bCs w:val="1"/>
        </w:rPr>
        <w:t xml:space="preserve">[[@Bible:Re 8:1]] </w:t>
      </w:r>
      <w:r>
        <w:rPr>
          <w:sz w:val="22"/>
          <w:szCs w:val="22"/>
          <w:b w:val="1"/>
          <w:bCs w:val="1"/>
          <w:vertAlign w:val="superscript"/>
        </w:rPr>
        <w:t xml:space="preserve">1  </w:t>
      </w:r>
      <w:r>
        <w:rPr/>
        <w:t xml:space="preserve">And when he had opened the seventh seal, there was silence in heaven </w:t>
      </w:r>
      <w:r>
        <w:rPr>
          <w:b w:val="1"/>
          <w:bCs w:val="1"/>
        </w:rPr>
        <w:t xml:space="preserve">about the space of half an hour</w:t>
      </w:r>
      <w:r>
        <w:rPr/>
        <w:t xml:space="preserve">. </w:t>
      </w:r>
      <w:r>
        <w:rPr>
          <w:rStyle w:val="FootnoteReference"/>
        </w:rPr>
        <w:footnoteReference w:id="280"/>
      </w:r>
    </w:p>
    <w:p>
      <w:pPr>
        <w:pStyle w:val="BodyVerse"/>
      </w:pPr>
      <w:r>
        <w:rPr>
          <w:b w:val="1"/>
          <w:bCs w:val="1"/>
        </w:rPr>
        <w:t xml:space="preserve">[[@Bible:Re 8:2]] </w:t>
      </w:r>
      <w:r>
        <w:rPr>
          <w:sz w:val="22"/>
          <w:szCs w:val="22"/>
          <w:b w:val="1"/>
          <w:bCs w:val="1"/>
          <w:vertAlign w:val="superscript"/>
        </w:rPr>
        <w:t xml:space="preserve">2  </w:t>
      </w:r>
      <w:r>
        <w:rPr/>
        <w:t xml:space="preserve">And I saw </w:t>
      </w:r>
      <w:r>
        <w:rPr>
          <w:b w:val="1"/>
          <w:bCs w:val="1"/>
        </w:rPr>
        <w:t xml:space="preserve">the seven messengers who stood before God; and to them were given seven trumpets</w:t>
      </w:r>
      <w:r>
        <w:rPr/>
        <w:t xml:space="preserve"> </w:t>
      </w:r>
      <w:r>
        <w:rPr>
          <w:color w:val="4A6FA5"/>
          <w:sz w:val="18"/>
          <w:szCs w:val="18"/>
        </w:rPr>
        <w:t xml:space="preserve"> (q</w:t>
      </w:r>
      <w:r>
        <w:rPr>
          <w:rStyle w:val="FootnoteReference"/>
        </w:rPr>
        <w:footnoteReference w:id="281"/>
      </w:r>
      <w:r>
        <w:rPr>
          <w:color w:val="4A6FA5"/>
          <w:sz w:val="18"/>
          <w:szCs w:val="18"/>
        </w:rPr>
        <w:t xml:space="preserve">) </w:t>
      </w:r>
      <w:r>
        <w:rPr/>
        <w:t xml:space="preserve"> </w:t>
      </w:r>
      <w:r>
        <w:rPr>
          <w:rStyle w:val="FootnoteReference"/>
        </w:rPr>
        <w:footnoteReference w:id="282"/>
      </w:r>
      <w:r>
        <w:rPr/>
        <w:t xml:space="preserve">.</w:t>
      </w:r>
    </w:p>
    <w:p>
      <w:pPr>
        <w:pStyle w:val="BodyVerse"/>
      </w:pPr>
      <w:r>
        <w:rPr>
          <w:b w:val="1"/>
          <w:bCs w:val="1"/>
        </w:rPr>
        <w:t xml:space="preserve">[[@Bible:Re 8:3]] </w:t>
      </w:r>
      <w:r>
        <w:rPr>
          <w:sz w:val="22"/>
          <w:szCs w:val="22"/>
          <w:b w:val="1"/>
          <w:bCs w:val="1"/>
          <w:vertAlign w:val="superscript"/>
        </w:rPr>
        <w:t xml:space="preserve">3  </w:t>
      </w:r>
      <w:r>
        <w:rPr/>
        <w:t xml:space="preserve">And another messenger came and stood at the </w:t>
      </w:r>
      <w:r>
        <w:rPr>
          <w:b w:val="1"/>
          <w:bCs w:val="1"/>
        </w:rPr>
        <w:t xml:space="preserve">altar, having a golden censer; and there was given unto him much incense, that he should offer it with the prayers of all saints upon the golden altar which was before the throne</w:t>
      </w:r>
      <w:r>
        <w:rPr/>
        <w:t xml:space="preserve"> </w:t>
      </w:r>
      <w:r>
        <w:rPr>
          <w:rStyle w:val="FootnoteReference"/>
        </w:rPr>
        <w:footnoteReference w:id="283"/>
      </w:r>
      <w:r>
        <w:rPr/>
        <w:t xml:space="preserve">.</w:t>
      </w:r>
    </w:p>
    <w:p>
      <w:pPr>
        <w:pStyle w:val="BodyVerse"/>
      </w:pPr>
      <w:r>
        <w:rPr>
          <w:b w:val="1"/>
          <w:bCs w:val="1"/>
        </w:rPr>
        <w:t xml:space="preserve">[[@Bible:Re 8:4]] </w:t>
      </w:r>
      <w:r>
        <w:rPr>
          <w:sz w:val="22"/>
          <w:szCs w:val="22"/>
          <w:b w:val="1"/>
          <w:bCs w:val="1"/>
          <w:vertAlign w:val="superscript"/>
        </w:rPr>
        <w:t xml:space="preserve">4  </w:t>
      </w:r>
      <w:r>
        <w:rPr/>
        <w:t xml:space="preserve">And the smoke of the incense, which came with the </w:t>
      </w:r>
      <w:r>
        <w:rPr>
          <w:b w:val="1"/>
          <w:bCs w:val="1"/>
        </w:rPr>
        <w:t xml:space="preserve">prayers of the saints</w:t>
      </w:r>
      <w:r>
        <w:rPr/>
        <w:t xml:space="preserve"> </w:t>
      </w:r>
      <w:r>
        <w:rPr>
          <w:rStyle w:val="FootnoteReference"/>
        </w:rPr>
        <w:footnoteReference w:id="284"/>
      </w:r>
      <w:r>
        <w:rPr/>
        <w:t xml:space="preserve">, ascended up before God out of the messenger’s hand.</w:t>
      </w:r>
    </w:p>
    <w:p>
      <w:pPr>
        <w:pStyle w:val="BodyVerse"/>
      </w:pPr>
      <w:r>
        <w:rPr>
          <w:b w:val="1"/>
          <w:bCs w:val="1"/>
        </w:rPr>
        <w:t xml:space="preserve">[[@Bible:Re 8:5]] </w:t>
      </w:r>
      <w:r>
        <w:rPr>
          <w:sz w:val="22"/>
          <w:szCs w:val="22"/>
          <w:b w:val="1"/>
          <w:bCs w:val="1"/>
          <w:vertAlign w:val="superscript"/>
        </w:rPr>
        <w:t xml:space="preserve">5  </w:t>
      </w:r>
      <w:r>
        <w:rPr/>
        <w:t xml:space="preserve">And </w:t>
      </w:r>
      <w:r>
        <w:rPr>
          <w:b w:val="1"/>
          <w:bCs w:val="1"/>
        </w:rPr>
        <w:t xml:space="preserve">the messenger took the censer, and filled it with fire of the altar</w:t>
      </w:r>
      <w:r>
        <w:rPr/>
        <w:t xml:space="preserve"> </w:t>
      </w:r>
      <w:r>
        <w:rPr>
          <w:rStyle w:val="FootnoteReference"/>
        </w:rPr>
        <w:footnoteReference w:id="285"/>
      </w:r>
      <w:r>
        <w:rPr/>
        <w:t xml:space="preserve">, and cast it into the earth: and there were </w:t>
      </w:r>
      <w:r>
        <w:rPr>
          <w:b w:val="1"/>
          <w:bCs w:val="1"/>
        </w:rPr>
        <w:t xml:space="preserve">thunders, and voices, and lightnings, and an earthquake</w:t>
      </w:r>
      <w:r>
        <w:rPr/>
        <w:t xml:space="preserve"> </w:t>
      </w:r>
      <w:r>
        <w:rPr>
          <w:rStyle w:val="FootnoteReference"/>
        </w:rPr>
        <w:footnoteReference w:id="286"/>
      </w:r>
      <w:r>
        <w:rPr/>
        <w:t xml:space="preserve">.</w:t>
      </w:r>
    </w:p>
    <w:p>
      <w:pPr>
        <w:jc w:val="center"/>
        <w:spacing w:before="120" w:after="60"/>
      </w:pPr>
      <w:r>
        <w:rPr>
          <w:sz w:val="36"/>
          <w:szCs w:val="36"/>
          <w:b w:val="1"/>
          <w:bCs w:val="1"/>
        </w:rPr>
        <w:t xml:space="preserve">✶</w:t>
      </w:r>
    </w:p>
    <w:p>
      <w:pPr>
        <w:pStyle w:val="Heading2"/>
      </w:pPr>
      <w:bookmarkStart w:id="37" w:name="_Toc37"/>
      <w:r>
        <w:t>Seven Trumpet Plagues</w:t>
      </w:r>
      <w:bookmarkEnd w:id="37"/>
    </w:p>
    <w:p>
      <w:pPr>
        <w:pStyle w:val="SectionBody"/>
      </w:pPr>
      <w:r>
        <w:rPr>
          <w:b w:val="1"/>
          <w:bCs w:val="1"/>
        </w:rPr>
        <w:t xml:space="preserve">Linear Scene 1.3a:</w:t>
      </w:r>
      <w:r>
        <w:rPr/>
        <w:t xml:space="preserve"> Each time Revelation transitions into a new set of plagues, the text makes it clear that the judgments do not nest inside one another but instead unfold sequentially. Each series leads directly into the next at its final member. At the end of the seventh seal, we see seven angels introduced, and those same seven angels appear at the beginning of the trumpet judgments. Likewise, in the seventh trumpet, we see "the wrath of God is come, and tabernacle of the testimony opened", and that identical scene appears again in Revelation 15 just before the seven vials are poured out.</w:t>
      </w:r>
    </w:p>
    <w:p>
      <w:pPr>
        <w:spacing w:after="150"/>
      </w:pPr>
      <w:r>
        <w:rPr/>
        <w:t xml:space="preserve"/>
      </w:r>
    </w:p>
    <w:p>
      <w:pPr>
        <w:pStyle w:val="BodyVerse"/>
      </w:pPr>
      <w:r>
        <w:rPr>
          <w:b w:val="1"/>
          <w:bCs w:val="1"/>
        </w:rPr>
        <w:t xml:space="preserve">[[@Bible:Re 8:6]] </w:t>
      </w:r>
      <w:r>
        <w:rPr>
          <w:sz w:val="22"/>
          <w:szCs w:val="22"/>
          <w:b w:val="1"/>
          <w:bCs w:val="1"/>
          <w:vertAlign w:val="superscript"/>
        </w:rPr>
        <w:t xml:space="preserve">6  </w:t>
      </w:r>
      <w:r>
        <w:rPr/>
        <w:t xml:space="preserve">And </w:t>
      </w:r>
      <w:r>
        <w:rPr>
          <w:b w:val="1"/>
          <w:bCs w:val="1"/>
        </w:rPr>
        <w:t xml:space="preserve">the seven messengers who had the seven trumpets</w:t>
      </w:r>
      <w:r>
        <w:rPr/>
        <w:t xml:space="preserve"> </w:t>
      </w:r>
      <w:r>
        <w:rPr>
          <w:color w:val="4A6FA5"/>
          <w:sz w:val="18"/>
          <w:szCs w:val="18"/>
        </w:rPr>
        <w:t xml:space="preserve"> (q</w:t>
      </w:r>
      <w:r>
        <w:rPr>
          <w:rStyle w:val="FootnoteReference"/>
        </w:rPr>
        <w:footnoteReference w:id="287"/>
      </w:r>
      <w:r>
        <w:rPr>
          <w:color w:val="4A6FA5"/>
          <w:sz w:val="18"/>
          <w:szCs w:val="18"/>
        </w:rPr>
        <w:t xml:space="preserve">) </w:t>
      </w:r>
      <w:r>
        <w:rPr/>
        <w:t xml:space="preserve"> prepared them to blow.</w:t>
      </w:r>
    </w:p>
    <w:p>
      <w:pPr>
        <w:spacing w:after="150"/>
      </w:pPr>
      <w:r>
        <w:rPr/>
        <w:t xml:space="preserve"/>
      </w:r>
    </w:p>
    <w:p>
      <w:pPr>
        <w:pStyle w:val="Heading3"/>
      </w:pPr>
      <w:bookmarkStart w:id="38" w:name="_Toc38"/>
      <w:r>
        <w:t>The First Trumpet: One Third Trees and Grass</w:t>
      </w:r>
      <w:bookmarkEnd w:id="38"/>
    </w:p>
    <w:p>
      <w:pPr>
        <w:pStyle w:val="SectionBody"/>
      </w:pPr>
      <w:r>
        <w:rPr>
          <w:b w:val="1"/>
          <w:bCs w:val="1"/>
        </w:rPr>
        <w:t xml:space="preserve">Important Note:</w:t>
      </w:r>
      <w:r>
        <w:rPr/>
        <w:t xml:space="preserve"> Like many things in Revelation, it's easy to push interpretations too far if we aren't careful with the details. The blood mixed with fire in the first trumpet is no exception. Still, for due diligence, it's worth asking what this blood represents. Whose blood is it?</w:t>
      </w:r>
    </w:p>
    <w:p>
      <w:pPr>
        <w:pStyle w:val="SectionBody"/>
      </w:pPr>
      <w:r>
        <w:rPr/>
        <w:t xml:space="preserve">Most likely, it is simply part of the judgment imagery itself, fulfilling Joel 2:30: "And I will shew wonders in the heavens and in the earth, blood, and fire, and pillars of smoke." In that sense, it is not anyone's specific blood. To assume this is "the blood of the saints," the moon, or the Lamb goes beyond what the text actually allows. The safest conclusion is that this blood functions as an element of divine judgment, not as an identification of a particular group. And likely points to Joel 2.</w:t>
      </w:r>
    </w:p>
    <w:p>
      <w:pPr>
        <w:spacing w:after="150"/>
      </w:pPr>
      <w:r>
        <w:rPr/>
        <w:t xml:space="preserve"/>
      </w:r>
    </w:p>
    <w:p>
      <w:pPr>
        <w:pStyle w:val="BodyVerse"/>
      </w:pPr>
      <w:r>
        <w:rPr>
          <w:b w:val="1"/>
          <w:bCs w:val="1"/>
        </w:rPr>
        <w:t xml:space="preserve">[[@Bible:Re 8:7]] </w:t>
      </w:r>
      <w:r>
        <w:rPr>
          <w:sz w:val="22"/>
          <w:szCs w:val="22"/>
          <w:b w:val="1"/>
          <w:bCs w:val="1"/>
          <w:vertAlign w:val="superscript"/>
        </w:rPr>
        <w:t xml:space="preserve">7  </w:t>
      </w:r>
      <w:r>
        <w:rPr/>
        <w:t xml:space="preserve">The first messenger blew, and there followed </w:t>
      </w:r>
      <w:r>
        <w:rPr>
          <w:b w:val="1"/>
          <w:bCs w:val="1"/>
        </w:rPr>
        <w:t xml:space="preserve">hail</w:t>
      </w:r>
      <w:r>
        <w:rPr/>
        <w:t xml:space="preserve"> </w:t>
      </w:r>
      <w:r>
        <w:rPr>
          <w:rStyle w:val="FootnoteReference"/>
        </w:rPr>
        <w:footnoteReference w:id="288"/>
      </w:r>
      <w:r>
        <w:rPr/>
        <w:t xml:space="preserve"> and </w:t>
      </w:r>
      <w:r>
        <w:rPr>
          <w:b w:val="1"/>
          <w:bCs w:val="1"/>
        </w:rPr>
        <w:t xml:space="preserve">fire mingled with blood, and they were cast upon the earth</w:t>
      </w:r>
      <w:r>
        <w:rPr/>
        <w:t xml:space="preserve"> </w:t>
      </w:r>
      <w:r>
        <w:rPr>
          <w:rStyle w:val="FootnoteReference"/>
        </w:rPr>
        <w:footnoteReference w:id="289"/>
      </w:r>
      <w:r>
        <w:rPr/>
        <w:t xml:space="preserve">: </w:t>
      </w:r>
      <w:r>
        <w:rPr>
          <w:b w:val="1"/>
          <w:bCs w:val="1"/>
        </w:rPr>
        <w:t xml:space="preserve">and the third part of trees was burnt up, and all green grass was burnt up.</w:t>
      </w:r>
      <w:r>
        <w:rPr/>
        <w:t xml:space="preserve"> </w:t>
      </w:r>
      <w:r>
        <w:rPr>
          <w:rStyle w:val="FootnoteReference"/>
        </w:rPr>
        <w:footnoteReference w:id="290"/>
      </w:r>
    </w:p>
    <w:p>
      <w:pPr>
        <w:spacing w:after="150"/>
      </w:pPr>
      <w:r>
        <w:rPr/>
        <w:t xml:space="preserve"/>
      </w:r>
    </w:p>
    <w:p>
      <w:pPr>
        <w:pStyle w:val="Heading3"/>
      </w:pPr>
      <w:bookmarkStart w:id="39" w:name="_Toc39"/>
      <w:r>
        <w:t>The Second Trumpet: One Third Sea</w:t>
      </w:r>
      <w:bookmarkEnd w:id="39"/>
    </w:p>
    <w:p>
      <w:pPr>
        <w:pStyle w:val="BodyVerse"/>
      </w:pPr>
      <w:r>
        <w:rPr>
          <w:b w:val="1"/>
          <w:bCs w:val="1"/>
        </w:rPr>
        <w:t xml:space="preserve">[[@Bible:Re 8:8]] </w:t>
      </w:r>
      <w:r>
        <w:rPr>
          <w:sz w:val="22"/>
          <w:szCs w:val="22"/>
          <w:b w:val="1"/>
          <w:bCs w:val="1"/>
          <w:vertAlign w:val="superscript"/>
        </w:rPr>
        <w:t xml:space="preserve">8  </w:t>
      </w:r>
      <w:r>
        <w:rPr/>
        <w:t xml:space="preserve">And the second messenger blew, and as it were a great mountain burning with fire was cast into </w:t>
      </w:r>
      <w:r>
        <w:rPr>
          <w:b w:val="1"/>
          <w:bCs w:val="1"/>
        </w:rPr>
        <w:t xml:space="preserve">the sea</w:t>
      </w:r>
      <w:r>
        <w:rPr/>
        <w:t xml:space="preserve"> </w:t>
      </w:r>
      <w:r>
        <w:rPr>
          <w:rStyle w:val="FootnoteReference"/>
        </w:rPr>
        <w:footnoteReference w:id="291"/>
      </w:r>
      <w:r>
        <w:rPr/>
        <w:t xml:space="preserve">: and the third part of the sea became blood;</w:t>
      </w:r>
    </w:p>
    <w:p>
      <w:pPr>
        <w:pStyle w:val="BodyVerse"/>
      </w:pPr>
      <w:r>
        <w:rPr>
          <w:b w:val="1"/>
          <w:bCs w:val="1"/>
        </w:rPr>
        <w:t xml:space="preserve">[[@Bible:Re 8:9]] </w:t>
      </w:r>
      <w:r>
        <w:rPr>
          <w:sz w:val="22"/>
          <w:szCs w:val="22"/>
          <w:b w:val="1"/>
          <w:bCs w:val="1"/>
          <w:vertAlign w:val="superscript"/>
        </w:rPr>
        <w:t xml:space="preserve">9  </w:t>
      </w:r>
      <w:r>
        <w:rPr/>
        <w:t xml:space="preserve">And the third part of the creatures which were in the sea, and had life, died; and the third part of the ships were destroyed.</w:t>
      </w:r>
    </w:p>
    <w:p>
      <w:pPr>
        <w:spacing w:after="150"/>
      </w:pPr>
      <w:r>
        <w:rPr/>
        <w:t xml:space="preserve"/>
      </w:r>
    </w:p>
    <w:p>
      <w:pPr>
        <w:pStyle w:val="Heading3"/>
      </w:pPr>
      <w:bookmarkStart w:id="40" w:name="_Toc40"/>
      <w:r>
        <w:t>The Third Trumpet: One Third Fresh Waters</w:t>
      </w:r>
      <w:bookmarkEnd w:id="40"/>
    </w:p>
    <w:p>
      <w:pPr>
        <w:pStyle w:val="BodyVerse"/>
      </w:pPr>
      <w:r>
        <w:rPr>
          <w:b w:val="1"/>
          <w:bCs w:val="1"/>
        </w:rPr>
        <w:t xml:space="preserve">[[@Bible:Re 8:10]] </w:t>
      </w:r>
      <w:r>
        <w:rPr>
          <w:sz w:val="22"/>
          <w:szCs w:val="22"/>
          <w:b w:val="1"/>
          <w:bCs w:val="1"/>
          <w:vertAlign w:val="superscript"/>
        </w:rPr>
        <w:t xml:space="preserve">10  </w:t>
      </w:r>
      <w:r>
        <w:rPr/>
        <w:t xml:space="preserve">And the third messenger blew, and there fell a great star from heaven, burning as it were a lamp, and it fell upon the third part of </w:t>
      </w:r>
      <w:r>
        <w:rPr>
          <w:b w:val="1"/>
          <w:bCs w:val="1"/>
        </w:rPr>
        <w:t xml:space="preserve">the rivers, and upon the fountains of waters</w:t>
      </w:r>
      <w:r>
        <w:rPr/>
        <w:t xml:space="preserve"> </w:t>
      </w:r>
      <w:r>
        <w:rPr>
          <w:rStyle w:val="FootnoteReference"/>
        </w:rPr>
        <w:footnoteReference w:id="292"/>
      </w:r>
      <w:r>
        <w:rPr/>
        <w:t xml:space="preserve">;</w:t>
      </w:r>
    </w:p>
    <w:p>
      <w:pPr>
        <w:jc w:val="left"/>
        <w:ind w:left="360" w:right="0" w:firstLine="0" w:hanging="0"/>
        <w:spacing w:after="60"/>
      </w:pPr>
      <w:r>
        <w:rPr>
          <w:sz w:val="18"/>
          <w:szCs w:val="18"/>
          <w:i w:val="1"/>
          <w:iCs w:val="1"/>
        </w:rPr>
        <w:t xml:space="preserve">[fn] λαμπὰς — a lamp —"Burning like a torch" or "burning like a flaming torch" as a "light source".</w:t>
      </w:r>
    </w:p>
    <w:p>
      <w:pPr>
        <w:pStyle w:val="BodyVerse"/>
      </w:pPr>
      <w:r>
        <w:rPr>
          <w:b w:val="1"/>
          <w:bCs w:val="1"/>
        </w:rPr>
        <w:t xml:space="preserve">[[@Bible:Re 8:11]] </w:t>
      </w:r>
      <w:r>
        <w:rPr>
          <w:sz w:val="22"/>
          <w:szCs w:val="22"/>
          <w:b w:val="1"/>
          <w:bCs w:val="1"/>
          <w:vertAlign w:val="superscript"/>
        </w:rPr>
        <w:t xml:space="preserve">11  </w:t>
      </w:r>
      <w:r>
        <w:rPr/>
        <w:t xml:space="preserve">And the name of the star is called </w:t>
      </w:r>
      <w:r>
        <w:rPr>
          <w:b w:val="1"/>
          <w:bCs w:val="1"/>
        </w:rPr>
        <w:t xml:space="preserve">Wormwood</w:t>
      </w:r>
      <w:r>
        <w:rPr/>
        <w:t xml:space="preserve"> </w:t>
      </w:r>
      <w:r>
        <w:rPr>
          <w:rStyle w:val="FootnoteReference"/>
        </w:rPr>
        <w:footnoteReference w:id="293"/>
      </w:r>
      <w:r>
        <w:rPr/>
        <w:t xml:space="preserve">: and the third part of the waters became </w:t>
      </w:r>
      <w:r>
        <w:rPr>
          <w:b w:val="1"/>
          <w:bCs w:val="1"/>
        </w:rPr>
        <w:t xml:space="preserve">wormwood</w:t>
      </w:r>
      <w:r>
        <w:rPr/>
        <w:t xml:space="preserve"> </w:t>
      </w:r>
      <w:r>
        <w:rPr>
          <w:rStyle w:val="FootnoteReference"/>
        </w:rPr>
        <w:footnoteReference w:id="294"/>
      </w:r>
      <w:r>
        <w:rPr/>
        <w:t xml:space="preserve">; and many men died of the waters, because they were made bitter.</w:t>
      </w:r>
    </w:p>
    <w:p>
      <w:pPr>
        <w:spacing w:after="150"/>
      </w:pPr>
      <w:r>
        <w:rPr/>
        <w:t xml:space="preserve"/>
      </w:r>
    </w:p>
    <w:p>
      <w:pPr>
        <w:pStyle w:val="Heading3"/>
      </w:pPr>
      <w:bookmarkStart w:id="41" w:name="_Toc41"/>
      <w:r>
        <w:t>The Fourth Trumpet: One Third Heaven's Lights</w:t>
      </w:r>
      <w:bookmarkEnd w:id="41"/>
    </w:p>
    <w:p>
      <w:pPr>
        <w:pStyle w:val="SectionBody"/>
      </w:pPr>
      <w:r>
        <w:rPr>
          <w:b w:val="1"/>
          <w:bCs w:val="1"/>
        </w:rPr>
        <w:t xml:space="preserve">Important Note:</w:t>
      </w:r>
      <w:r>
        <w:rPr/>
        <w:t xml:space="preserve"> With this, the fourth trumpet has finished the plagues that are directed toward creation: the earth, the sea, the waters, and the heavens.</w:t>
      </w:r>
    </w:p>
    <w:p>
      <w:pPr>
        <w:spacing w:after="150"/>
      </w:pPr>
      <w:r>
        <w:rPr/>
        <w:t xml:space="preserve"/>
      </w:r>
    </w:p>
    <w:p>
      <w:pPr>
        <w:pStyle w:val="BodyVerse"/>
      </w:pPr>
      <w:r>
        <w:rPr>
          <w:b w:val="1"/>
          <w:bCs w:val="1"/>
        </w:rPr>
        <w:t xml:space="preserve">[[@Bible:Re 8:12]] </w:t>
      </w:r>
      <w:r>
        <w:rPr>
          <w:sz w:val="22"/>
          <w:szCs w:val="22"/>
          <w:b w:val="1"/>
          <w:bCs w:val="1"/>
          <w:vertAlign w:val="superscript"/>
        </w:rPr>
        <w:t xml:space="preserve">12  </w:t>
      </w:r>
      <w:r>
        <w:rPr/>
        <w:t xml:space="preserve">And the fourth messenger blew, and </w:t>
      </w:r>
      <w:r>
        <w:rPr>
          <w:b w:val="1"/>
          <w:bCs w:val="1"/>
        </w:rPr>
        <w:t xml:space="preserve">the third part of the sun was smitten, and the third part of the moon, and the third part of the stars; so as the third part of them was darkened</w:t>
      </w:r>
      <w:r>
        <w:rPr/>
        <w:t xml:space="preserve"> </w:t>
      </w:r>
      <w:r>
        <w:rPr>
          <w:rStyle w:val="FootnoteReference"/>
        </w:rPr>
        <w:footnoteReference w:id="295"/>
      </w:r>
      <w:r>
        <w:rPr/>
        <w:t xml:space="preserve">, and the day shone not for a third part of it, and the night likewise.</w:t>
      </w:r>
    </w:p>
    <w:p>
      <w:pPr>
        <w:spacing w:after="150"/>
      </w:pPr>
      <w:r>
        <w:rPr/>
        <w:t xml:space="preserve"/>
      </w:r>
    </w:p>
    <w:p>
      <w:pPr>
        <w:pStyle w:val="Heading3"/>
      </w:pPr>
      <w:bookmarkStart w:id="42" w:name="_Toc42"/>
      <w:r>
        <w:t>Woe, Woe, Woe</w:t>
      </w:r>
      <w:bookmarkEnd w:id="42"/>
    </w:p>
    <w:p>
      <w:pPr>
        <w:pStyle w:val="SectionBody"/>
      </w:pPr>
      <w:r>
        <w:rPr>
          <w:b w:val="1"/>
          <w:bCs w:val="1"/>
        </w:rPr>
        <w:t xml:space="preserve">Important Note:</w:t>
      </w:r>
      <w:r>
        <w:rPr/>
        <w:t xml:space="preserve"> The three woes seem to indicate that the trumpets 5, 6, and 7 are distinct from one another and that their timing is also separated. Unlike trumpets 1-4, which seem to be grouped together like seals 1-4.</w:t>
      </w:r>
    </w:p>
    <w:p>
      <w:pPr>
        <w:spacing w:after="150"/>
      </w:pPr>
      <w:r>
        <w:rPr/>
        <w:t xml:space="preserve"/>
      </w:r>
    </w:p>
    <w:p>
      <w:pPr>
        <w:pStyle w:val="BodyVerse"/>
      </w:pPr>
      <w:r>
        <w:rPr>
          <w:b w:val="1"/>
          <w:bCs w:val="1"/>
        </w:rPr>
        <w:t xml:space="preserve">[[@Bible:Re 8:13]] </w:t>
      </w:r>
      <w:r>
        <w:rPr>
          <w:sz w:val="22"/>
          <w:szCs w:val="22"/>
          <w:b w:val="1"/>
          <w:bCs w:val="1"/>
          <w:vertAlign w:val="superscript"/>
        </w:rPr>
        <w:t xml:space="preserve">13  </w:t>
      </w:r>
      <w:r>
        <w:rPr/>
        <w:t xml:space="preserve">And I beheld, and heard an </w:t>
      </w:r>
      <w:r>
        <w:rPr>
          <w:i w:val="1"/>
          <w:iCs w:val="1"/>
        </w:rPr>
        <w:t xml:space="preserve">[eagle]</w:t>
      </w:r>
      <w:r>
        <w:rPr/>
        <w:t xml:space="preserve"> </w:t>
      </w:r>
      <w:r>
        <w:rPr>
          <w:b w:val="1"/>
          <w:bCs w:val="1"/>
        </w:rPr>
        <w:t xml:space="preserve">flying</w:t>
      </w:r>
      <w:r>
        <w:rPr/>
        <w:t xml:space="preserve"> </w:t>
      </w:r>
      <w:r>
        <w:rPr>
          <w:color w:val="4A6FA5"/>
          <w:sz w:val="18"/>
          <w:szCs w:val="18"/>
        </w:rPr>
        <w:t xml:space="preserve"> (ew</w:t>
      </w:r>
      <w:r>
        <w:rPr>
          <w:rStyle w:val="FootnoteReference"/>
        </w:rPr>
        <w:footnoteReference w:id="296"/>
      </w:r>
      <w:r>
        <w:rPr>
          <w:color w:val="4A6FA5"/>
          <w:sz w:val="18"/>
          <w:szCs w:val="18"/>
        </w:rPr>
        <w:t xml:space="preserve">) </w:t>
      </w:r>
      <w:r>
        <w:rPr/>
        <w:t xml:space="preserve"> through the midst of heaven, saying with a great voice, </w:t>
      </w:r>
      <w:r>
        <w:rPr>
          <w:b w:val="1"/>
          <w:bCs w:val="1"/>
        </w:rPr>
        <w:t xml:space="preserve">Woe</w:t>
      </w:r>
      <w:r>
        <w:rPr/>
        <w:t xml:space="preserve"> </w:t>
      </w:r>
      <w:r>
        <w:rPr>
          <w:rStyle w:val="FootnoteReference"/>
        </w:rPr>
        <w:footnoteReference w:id="297"/>
      </w:r>
      <w:r>
        <w:rPr/>
        <w:t xml:space="preserve">, </w:t>
      </w:r>
      <w:r>
        <w:rPr>
          <w:b w:val="1"/>
          <w:bCs w:val="1"/>
        </w:rPr>
        <w:t xml:space="preserve">woe</w:t>
      </w:r>
      <w:r>
        <w:rPr/>
        <w:t xml:space="preserve"> </w:t>
      </w:r>
      <w:r>
        <w:rPr>
          <w:rStyle w:val="FootnoteReference"/>
        </w:rPr>
        <w:footnoteReference w:id="298"/>
      </w:r>
      <w:r>
        <w:rPr/>
        <w:t xml:space="preserve">, </w:t>
      </w:r>
      <w:r>
        <w:rPr>
          <w:b w:val="1"/>
          <w:bCs w:val="1"/>
        </w:rPr>
        <w:t xml:space="preserve">woe</w:t>
      </w:r>
      <w:r>
        <w:rPr/>
        <w:t xml:space="preserve"> </w:t>
      </w:r>
      <w:r>
        <w:rPr>
          <w:rStyle w:val="FootnoteReference"/>
        </w:rPr>
        <w:footnoteReference w:id="299"/>
      </w:r>
      <w:r>
        <w:rPr/>
        <w:t xml:space="preserve">, to the inhabitants of the earth by reason of the other voices of the trumpet of the three messengers, which are yet to blow!</w:t>
      </w:r>
    </w:p>
    <w:p>
      <w:pPr>
        <w:jc w:val="left"/>
        <w:ind w:left="360" w:right="0" w:firstLine="0" w:hanging="0"/>
        <w:spacing w:after="60"/>
      </w:pPr>
      <w:r>
        <w:rPr>
          <w:sz w:val="18"/>
          <w:szCs w:val="18"/>
          <w:i w:val="1"/>
          <w:iCs w:val="1"/>
        </w:rPr>
        <w:t xml:space="preserve">[fn] The ESV calls this angel an "eagle" (αετου). KJV seems more general by using "angel" as we see an angel flying with a message in 14:6, even in the ESV.</w:t>
      </w:r>
    </w:p>
    <w:p>
      <w:pPr>
        <w:spacing w:after="150"/>
      </w:pPr>
      <w:r>
        <w:rPr/>
        <w:t xml:space="preserve"/>
      </w:r>
    </w:p>
    <w:p>
      <w:pPr>
        <w:pStyle w:val="Heading3"/>
      </w:pPr>
      <w:bookmarkStart w:id="43" w:name="_Toc43"/>
      <w:r>
        <w:t>The Fifth Trumpet: Bottomless Pit Opened</w:t>
      </w:r>
      <w:bookmarkEnd w:id="43"/>
    </w:p>
    <w:p>
      <w:pPr>
        <w:pStyle w:val="SectionBody"/>
      </w:pPr>
      <w:r>
        <w:rPr>
          <w:b w:val="1"/>
          <w:bCs w:val="1"/>
        </w:rPr>
        <w:t xml:space="preserve">Important Note:</w:t>
      </w:r>
      <w:r>
        <w:rPr/>
        <w:t xml:space="preserve"> The critical text seems to have preserved the text better here. The star is already "fallen"; this positions it as likely an angel that fell prior to this moment, or as the Wormwood star. Let's explore those two options, but note that stars in Revelation can be literal stars, humans (women, 12 stars in Revelation 12), and heavenly bodies such as Satan and his angels.</w:t>
      </w:r>
    </w:p>
    <w:p>
      <w:pPr>
        <w:pStyle w:val="SectionBody"/>
      </w:pPr>
      <w:r>
        <w:rPr/>
        <w:t xml:space="preserve">Option 1: Wormwood — Literal stars are very unlikely to be given keys to the bottomless pit — the bottomless pit is connected to spiritual beings. Unless the wormwood star is an angel, it then seems unlikely the star here is that star.</w:t>
      </w:r>
    </w:p>
    <w:p>
      <w:pPr>
        <w:pStyle w:val="SectionBody"/>
      </w:pPr>
      <w:r>
        <w:rPr/>
        <w:t xml:space="preserve">Option 2: Fallen Angel — This seems more likely given the spiritual nature of the bottomless pit.</w:t>
      </w:r>
    </w:p>
    <w:p>
      <w:pPr>
        <w:pStyle w:val="SectionBody"/>
      </w:pPr>
      <w:r>
        <w:rPr/>
        <w:t xml:space="preserve">Is this fallen star, Wormwood, or a fallen angel? Or, maybe it is both? I'll let you consider it. But who the angel is will not be the point. The main focus of the 5th trumpet is the locusts.</w:t>
      </w:r>
    </w:p>
    <w:p>
      <w:pPr>
        <w:pStyle w:val="SectionBody"/>
      </w:pPr>
      <w:r>
        <w:rPr/>
        <w:t xml:space="preserve">When the locusts come out of the bottomless pit, it is also fitting for them to be demonic in nature, as they seem to come from a supernatural place – the bottomless pit. Yet it should not be ignored that the locusts are linked to a material world by their ability to sting men. So, the spiritual and material worlds meet at the 5th trumpet and first woe.</w:t>
      </w:r>
    </w:p>
    <w:p>
      <w:pPr>
        <w:pStyle w:val="SectionBody"/>
      </w:pPr>
      <w:r>
        <w:rPr/>
        <w:t xml:space="preserve">These locusts plague the earth for five months and only touch "those men which have not the seal of God in their foreheads". This implies the 144,000 are present at this time.</w:t>
      </w:r>
    </w:p>
    <w:p>
      <w:pPr>
        <w:spacing w:after="150"/>
      </w:pPr>
      <w:r>
        <w:rPr/>
        <w:t xml:space="preserve"/>
      </w:r>
    </w:p>
    <w:p>
      <w:pPr>
        <w:pStyle w:val="BodyVerse"/>
      </w:pPr>
      <w:r>
        <w:rPr>
          <w:b w:val="1"/>
          <w:bCs w:val="1"/>
        </w:rPr>
        <w:t xml:space="preserve">[[@Bible:Re 9:1]] </w:t>
      </w:r>
      <w:r>
        <w:rPr>
          <w:sz w:val="22"/>
          <w:szCs w:val="22"/>
          <w:b w:val="1"/>
          <w:bCs w:val="1"/>
          <w:vertAlign w:val="superscript"/>
        </w:rPr>
        <w:t xml:space="preserve">1  </w:t>
      </w:r>
      <w:r>
        <w:rPr/>
        <w:t xml:space="preserve">And the fifth messenger blew, and I saw a star fallen from heaven unto the earth: and to him was given the </w:t>
      </w:r>
      <w:r>
        <w:rPr>
          <w:b w:val="1"/>
          <w:bCs w:val="1"/>
        </w:rPr>
        <w:t xml:space="preserve">key</w:t>
      </w:r>
      <w:r>
        <w:rPr/>
        <w:t xml:space="preserve"> </w:t>
      </w:r>
      <w:r>
        <w:rPr>
          <w:rStyle w:val="FootnoteReference"/>
        </w:rPr>
        <w:footnoteReference w:id="300"/>
      </w:r>
      <w:r>
        <w:rPr/>
        <w:t xml:space="preserve"> of </w:t>
      </w:r>
      <w:r>
        <w:rPr>
          <w:b w:val="1"/>
          <w:bCs w:val="1"/>
        </w:rPr>
        <w:t xml:space="preserve">the shaft of the bottomless pit</w:t>
      </w:r>
      <w:r>
        <w:rPr/>
        <w:t xml:space="preserve"> </w:t>
      </w:r>
      <w:r>
        <w:rPr>
          <w:rStyle w:val="FootnoteReference"/>
        </w:rPr>
        <w:footnoteReference w:id="301"/>
      </w:r>
      <w:r>
        <w:rPr/>
        <w:t xml:space="preserve"> </w:t>
      </w:r>
      <w:r>
        <w:rPr>
          <w:rStyle w:val="FootnoteReference"/>
        </w:rPr>
        <w:footnoteReference w:id="302"/>
      </w:r>
      <w:r>
        <w:rPr/>
        <w:t xml:space="preserve">.</w:t>
      </w:r>
    </w:p>
    <w:p>
      <w:pPr>
        <w:jc w:val="left"/>
        <w:ind w:left="360" w:right="0" w:firstLine="0" w:hanging="0"/>
        <w:spacing w:after="60"/>
      </w:pPr>
      <w:r>
        <w:rPr>
          <w:sz w:val="18"/>
          <w:szCs w:val="18"/>
          <w:i w:val="1"/>
          <w:iCs w:val="1"/>
        </w:rPr>
        <w:t xml:space="preserve">[fn] “Shaft of the abyss” (τὸ φρέαρ τῆς ἀβύσσου) — φρέαρ (phrear) denotes a “well,” “pit,” or more precisely a vertical shaft or opening, not the abyss itself. The phrase describes an access point leading to the abyss (ἄβυσσος). The term ἄβυσσος (abyssos) means “deep,” “unfathomable,” or “bottomless,” referring to a depth without measure rather than a “pit” as such. The traditional English rendering “bottomless pit” (e.g., KJV) reflects this idea interpretively and has been retained due to longstanding usage, though “abyss” more directly represents the Greek term.</w:t>
      </w:r>
    </w:p>
    <w:p>
      <w:pPr>
        <w:pStyle w:val="BodyVerse"/>
      </w:pPr>
      <w:r>
        <w:rPr>
          <w:b w:val="1"/>
          <w:bCs w:val="1"/>
        </w:rPr>
        <w:t xml:space="preserve">[[@Bible:Re 9:2]] </w:t>
      </w:r>
      <w:r>
        <w:rPr>
          <w:sz w:val="22"/>
          <w:szCs w:val="22"/>
          <w:b w:val="1"/>
          <w:bCs w:val="1"/>
          <w:vertAlign w:val="superscript"/>
        </w:rPr>
        <w:t xml:space="preserve">2  </w:t>
      </w:r>
      <w:r>
        <w:rPr/>
        <w:t xml:space="preserve">And he opened the </w:t>
      </w:r>
      <w:r>
        <w:rPr>
          <w:b w:val="1"/>
          <w:bCs w:val="1"/>
        </w:rPr>
        <w:t xml:space="preserve">the shaft of the bottomless pit</w:t>
      </w:r>
      <w:r>
        <w:rPr/>
        <w:t xml:space="preserve"> </w:t>
      </w:r>
      <w:r>
        <w:rPr>
          <w:rStyle w:val="FootnoteReference"/>
        </w:rPr>
        <w:footnoteReference w:id="303"/>
      </w:r>
      <w:r>
        <w:rPr/>
        <w:t xml:space="preserve">; and there ascended a smoke out of the pit, as the smoke of a great furnace; and </w:t>
      </w:r>
      <w:r>
        <w:rPr>
          <w:b w:val="1"/>
          <w:bCs w:val="1"/>
        </w:rPr>
        <w:t xml:space="preserve">the sun and the air were darkened</w:t>
      </w:r>
      <w:r>
        <w:rPr/>
        <w:t xml:space="preserve"> </w:t>
      </w:r>
      <w:r>
        <w:rPr>
          <w:rStyle w:val="FootnoteReference"/>
        </w:rPr>
        <w:footnoteReference w:id="304"/>
      </w:r>
      <w:r>
        <w:rPr/>
        <w:t xml:space="preserve"> from the smoke of the pit.</w:t>
      </w:r>
    </w:p>
    <w:p>
      <w:pPr>
        <w:pStyle w:val="BodyVerse"/>
      </w:pPr>
      <w:r>
        <w:rPr>
          <w:b w:val="1"/>
          <w:bCs w:val="1"/>
        </w:rPr>
        <w:t xml:space="preserve">[[@Bible:Re 9:3]] </w:t>
      </w:r>
      <w:r>
        <w:rPr>
          <w:sz w:val="22"/>
          <w:szCs w:val="22"/>
          <w:b w:val="1"/>
          <w:bCs w:val="1"/>
          <w:vertAlign w:val="superscript"/>
        </w:rPr>
        <w:t xml:space="preserve">3  </w:t>
      </w:r>
      <w:r>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2"/>
          <w:szCs w:val="22"/>
          <w:b w:val="1"/>
          <w:bCs w:val="1"/>
          <w:vertAlign w:val="superscript"/>
        </w:rPr>
        <w:t xml:space="preserve">4  </w:t>
      </w:r>
      <w:r>
        <w:rPr/>
        <w:t xml:space="preserve">And it was commanded them that they should not hurt the grass of the earth, neither any green thing, nor any tree; but only those men who have not the </w:t>
      </w:r>
      <w:r>
        <w:rPr>
          <w:b w:val="1"/>
          <w:bCs w:val="1"/>
        </w:rPr>
        <w:t xml:space="preserve">seal of God in their foreheads</w:t>
      </w:r>
      <w:r>
        <w:rPr/>
        <w:t xml:space="preserve"> </w:t>
      </w:r>
      <w:r>
        <w:rPr>
          <w:rStyle w:val="FootnoteReference"/>
        </w:rPr>
        <w:footnoteReference w:id="305"/>
      </w:r>
      <w:r>
        <w:rPr/>
        <w:t xml:space="preserve"> </w:t>
      </w:r>
      <w:r>
        <w:rPr>
          <w:rStyle w:val="FootnoteReference"/>
        </w:rPr>
        <w:footnoteReference w:id="306"/>
      </w:r>
      <w:r>
        <w:rPr/>
        <w:t xml:space="preserve"> </w:t>
      </w:r>
      <w:r>
        <w:rPr>
          <w:rStyle w:val="FootnoteReference"/>
        </w:rPr>
        <w:footnoteReference w:id="307"/>
      </w:r>
      <w:r>
        <w:rPr/>
        <w:t xml:space="preserve">.</w:t>
      </w:r>
    </w:p>
    <w:p>
      <w:pPr>
        <w:pStyle w:val="BodyVerse"/>
      </w:pPr>
      <w:r>
        <w:rPr>
          <w:b w:val="1"/>
          <w:bCs w:val="1"/>
        </w:rPr>
        <w:t xml:space="preserve">[[@Bible:Re 9:5]] </w:t>
      </w:r>
      <w:r>
        <w:rPr>
          <w:sz w:val="22"/>
          <w:szCs w:val="22"/>
          <w:b w:val="1"/>
          <w:bCs w:val="1"/>
          <w:vertAlign w:val="superscript"/>
        </w:rPr>
        <w:t xml:space="preserve">5  </w:t>
      </w:r>
      <w:r>
        <w:rPr/>
        <w:t xml:space="preserve">And to them it was given that they should not kill them, but that they should be tormented </w:t>
      </w:r>
      <w:r>
        <w:rPr>
          <w:b w:val="1"/>
          <w:bCs w:val="1"/>
        </w:rPr>
        <w:t xml:space="preserve">five months</w:t>
      </w:r>
      <w:r>
        <w:rPr/>
        <w:t xml:space="preserve"> </w:t>
      </w:r>
      <w:r>
        <w:rPr>
          <w:rStyle w:val="FootnoteReference"/>
        </w:rPr>
        <w:footnoteReference w:id="308"/>
      </w:r>
      <w:r>
        <w:rPr/>
        <w:t xml:space="preserve">: and their torment was as the torment of a scorpion, when he strikes a man.</w:t>
      </w:r>
    </w:p>
    <w:p>
      <w:pPr>
        <w:pStyle w:val="BodyVerse"/>
      </w:pPr>
      <w:r>
        <w:rPr>
          <w:b w:val="1"/>
          <w:bCs w:val="1"/>
        </w:rPr>
        <w:t xml:space="preserve">[[@Bible:Re 9:6]] </w:t>
      </w:r>
      <w:r>
        <w:rPr>
          <w:sz w:val="22"/>
          <w:szCs w:val="22"/>
          <w:b w:val="1"/>
          <w:bCs w:val="1"/>
          <w:vertAlign w:val="superscript"/>
        </w:rPr>
        <w:t xml:space="preserve">6  </w:t>
      </w:r>
      <w:r>
        <w:rPr/>
        <w:t xml:space="preserve">And in those days shall men seek death, and shall not find it; and shall desire to die, and death shall flee from them.</w:t>
      </w:r>
    </w:p>
    <w:p>
      <w:pPr>
        <w:pStyle w:val="BodyVerse"/>
      </w:pPr>
      <w:r>
        <w:rPr>
          <w:b w:val="1"/>
          <w:bCs w:val="1"/>
        </w:rPr>
        <w:t xml:space="preserve">[[@Bible:Re 9:7]] </w:t>
      </w:r>
      <w:r>
        <w:rPr>
          <w:sz w:val="22"/>
          <w:szCs w:val="22"/>
          <w:b w:val="1"/>
          <w:bCs w:val="1"/>
          <w:vertAlign w:val="superscript"/>
        </w:rPr>
        <w:t xml:space="preserve">7  </w:t>
      </w:r>
      <w:r>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2"/>
          <w:szCs w:val="22"/>
          <w:b w:val="1"/>
          <w:bCs w:val="1"/>
          <w:vertAlign w:val="superscript"/>
        </w:rPr>
        <w:t xml:space="preserve">8  </w:t>
      </w:r>
      <w:r>
        <w:rPr/>
        <w:t xml:space="preserve">And they had hair as the hair of women, and their teeth were as the teeth of lions.</w:t>
      </w:r>
    </w:p>
    <w:p>
      <w:pPr>
        <w:pStyle w:val="BodyVerse"/>
      </w:pPr>
      <w:r>
        <w:rPr>
          <w:b w:val="1"/>
          <w:bCs w:val="1"/>
        </w:rPr>
        <w:t xml:space="preserve">[[@Bible:Re 9:9]] </w:t>
      </w:r>
      <w:r>
        <w:rPr>
          <w:sz w:val="22"/>
          <w:szCs w:val="22"/>
          <w:b w:val="1"/>
          <w:bCs w:val="1"/>
          <w:vertAlign w:val="superscript"/>
        </w:rPr>
        <w:t xml:space="preserve">9  </w:t>
      </w:r>
      <w:r>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2"/>
          <w:szCs w:val="22"/>
          <w:b w:val="1"/>
          <w:bCs w:val="1"/>
          <w:vertAlign w:val="superscript"/>
        </w:rPr>
        <w:t xml:space="preserve">10  </w:t>
      </w:r>
      <w:r>
        <w:rPr/>
        <w:t xml:space="preserve">And they had tails like unto scorpions, and there were stings in their tails: and their power was to hurt men </w:t>
      </w:r>
      <w:r>
        <w:rPr>
          <w:b w:val="1"/>
          <w:bCs w:val="1"/>
        </w:rPr>
        <w:t xml:space="preserve">five months</w:t>
      </w:r>
      <w:r>
        <w:rPr/>
        <w:t xml:space="preserve"> </w:t>
      </w:r>
      <w:r>
        <w:rPr>
          <w:rStyle w:val="FootnoteReference"/>
        </w:rPr>
        <w:footnoteReference w:id="309"/>
      </w:r>
      <w:r>
        <w:rPr/>
        <w:t xml:space="preserve">.</w:t>
      </w:r>
    </w:p>
    <w:p>
      <w:pPr>
        <w:pStyle w:val="BodyVerse"/>
      </w:pPr>
      <w:r>
        <w:rPr>
          <w:b w:val="1"/>
          <w:bCs w:val="1"/>
        </w:rPr>
        <w:t xml:space="preserve">[[@Bible:Re 9:11]] </w:t>
      </w:r>
      <w:r>
        <w:rPr>
          <w:sz w:val="22"/>
          <w:szCs w:val="22"/>
          <w:b w:val="1"/>
          <w:bCs w:val="1"/>
          <w:vertAlign w:val="superscript"/>
        </w:rPr>
        <w:t xml:space="preserve">11  </w:t>
      </w:r>
      <w:r>
        <w:rPr/>
        <w:t xml:space="preserve">And they had a king over them, who is the messenger of the </w:t>
      </w:r>
      <w:r>
        <w:rPr>
          <w:b w:val="1"/>
          <w:bCs w:val="1"/>
        </w:rPr>
        <w:t xml:space="preserve">bottomless pit</w:t>
      </w:r>
      <w:r>
        <w:rPr/>
        <w:t xml:space="preserve"> </w:t>
      </w:r>
      <w:r>
        <w:rPr>
          <w:rStyle w:val="FootnoteReference"/>
        </w:rPr>
        <w:footnoteReference w:id="310"/>
      </w:r>
      <w:r>
        <w:rPr/>
        <w:t xml:space="preserve">, whose name in the Hebrew tongue is Abaddon, but in the Greek tongue his name is Apollyon.</w:t>
      </w:r>
    </w:p>
    <w:p>
      <w:pPr>
        <w:pStyle w:val="BodyVerse"/>
      </w:pPr>
      <w:r>
        <w:rPr>
          <w:b w:val="1"/>
          <w:bCs w:val="1"/>
        </w:rPr>
        <w:t xml:space="preserve">[[@Bible:Re 9:12]] </w:t>
      </w:r>
      <w:r>
        <w:rPr>
          <w:sz w:val="22"/>
          <w:szCs w:val="22"/>
          <w:b w:val="1"/>
          <w:bCs w:val="1"/>
          <w:vertAlign w:val="superscript"/>
        </w:rPr>
        <w:t xml:space="preserve">12  </w:t>
      </w:r>
      <w:r>
        <w:rPr/>
        <w:t xml:space="preserve">One woe is past; and, behold, there come two woes more hereafter.</w:t>
      </w:r>
    </w:p>
    <w:p>
      <w:pPr>
        <w:spacing w:after="150"/>
      </w:pPr>
      <w:r>
        <w:rPr/>
        <w:t xml:space="preserve"/>
      </w:r>
    </w:p>
    <w:p>
      <w:pPr>
        <w:pStyle w:val="Heading3"/>
      </w:pPr>
      <w:bookmarkStart w:id="44" w:name="_Toc44"/>
      <w:r>
        <w:t>The Sixth Trumpet: 200,000,000 Army</w:t>
      </w:r>
      <w:bookmarkEnd w:id="44"/>
    </w:p>
    <w:p>
      <w:pPr>
        <w:pStyle w:val="SectionBody"/>
      </w:pPr>
      <w:r>
        <w:rPr>
          <w:b w:val="1"/>
          <w:bCs w:val="1"/>
        </w:rPr>
        <w:t xml:space="preserve">Important Note:</w:t>
      </w:r>
      <w:r>
        <w:rPr/>
        <w:t xml:space="preserve"> Again, we seem to be in the theme of supernatural plagues and yet still literal ones too. The spiritual and material world meet here again. These are a judgment on the whole earth as it says "the third part of men". If this is not the whole world, the scope points to those men prior "which have not the seal of God in their foreheads".</w:t>
      </w:r>
    </w:p>
    <w:p>
      <w:pPr>
        <w:spacing w:after="150"/>
      </w:pPr>
      <w:r>
        <w:rPr/>
        <w:t xml:space="preserve"/>
      </w:r>
    </w:p>
    <w:p>
      <w:pPr>
        <w:pStyle w:val="BodyVerse"/>
      </w:pPr>
      <w:r>
        <w:rPr>
          <w:b w:val="1"/>
          <w:bCs w:val="1"/>
        </w:rPr>
        <w:t xml:space="preserve">[[@Bible:Re 9:13]] </w:t>
      </w:r>
      <w:r>
        <w:rPr>
          <w:sz w:val="22"/>
          <w:szCs w:val="22"/>
          <w:b w:val="1"/>
          <w:bCs w:val="1"/>
          <w:vertAlign w:val="superscript"/>
        </w:rPr>
        <w:t xml:space="preserve">13  </w:t>
      </w:r>
      <w:r>
        <w:rPr/>
        <w:t xml:space="preserve">And the sixth messenger sounded, and I heard </w:t>
      </w:r>
      <w:r>
        <w:rPr>
          <w:b w:val="1"/>
          <w:bCs w:val="1"/>
        </w:rPr>
        <w:t xml:space="preserve">a voice from the four horns of the golden altar which is before God</w:t>
      </w:r>
      <w:r>
        <w:rPr/>
        <w:t xml:space="preserve"> </w:t>
      </w:r>
      <w:r>
        <w:rPr>
          <w:rStyle w:val="FootnoteReference"/>
        </w:rPr>
        <w:footnoteReference w:id="311"/>
      </w:r>
      <w:r>
        <w:rPr/>
        <w:t xml:space="preserve"> </w:t>
      </w:r>
      <w:r>
        <w:rPr>
          <w:rStyle w:val="FootnoteReference"/>
        </w:rPr>
        <w:footnoteReference w:id="312"/>
      </w:r>
      <w:r>
        <w:rPr/>
        <w:t xml:space="preserve">,</w:t>
      </w:r>
    </w:p>
    <w:p>
      <w:pPr>
        <w:pStyle w:val="BodyVerse"/>
      </w:pPr>
      <w:r>
        <w:rPr>
          <w:b w:val="1"/>
          <w:bCs w:val="1"/>
        </w:rPr>
        <w:t xml:space="preserve">[[@Bible:Re 9:14]] </w:t>
      </w:r>
      <w:r>
        <w:rPr>
          <w:sz w:val="22"/>
          <w:szCs w:val="22"/>
          <w:b w:val="1"/>
          <w:bCs w:val="1"/>
          <w:vertAlign w:val="superscript"/>
        </w:rPr>
        <w:t xml:space="preserve">14  </w:t>
      </w:r>
      <w:r>
        <w:rPr/>
        <w:t xml:space="preserve">Saying to the sixth messenger, who had the trumpet, Loose the four messengers who are bound in the great river </w:t>
      </w:r>
      <w:r>
        <w:rPr>
          <w:b w:val="1"/>
          <w:bCs w:val="1"/>
        </w:rPr>
        <w:t xml:space="preserve">Euphrates</w:t>
      </w:r>
      <w:r>
        <w:rPr/>
        <w:t xml:space="preserve"> </w:t>
      </w:r>
      <w:r>
        <w:rPr>
          <w:rStyle w:val="FootnoteReference"/>
        </w:rPr>
        <w:footnoteReference w:id="313"/>
      </w:r>
      <w:r>
        <w:rPr/>
        <w:t xml:space="preserve">.</w:t>
      </w:r>
    </w:p>
    <w:p>
      <w:pPr>
        <w:pStyle w:val="BodyVerse"/>
      </w:pPr>
      <w:r>
        <w:rPr>
          <w:b w:val="1"/>
          <w:bCs w:val="1"/>
        </w:rPr>
        <w:t xml:space="preserve">[[@Bible:Re 9:15]] </w:t>
      </w:r>
      <w:r>
        <w:rPr>
          <w:sz w:val="22"/>
          <w:szCs w:val="22"/>
          <w:b w:val="1"/>
          <w:bCs w:val="1"/>
          <w:vertAlign w:val="superscript"/>
        </w:rPr>
        <w:t xml:space="preserve">15  </w:t>
      </w:r>
      <w:r>
        <w:rPr/>
        <w:t xml:space="preserve">And the four messengers were loosed, who were prepared for an hour, and a day, and a month, and a year, to slay the </w:t>
      </w:r>
      <w:r>
        <w:rPr>
          <w:b w:val="1"/>
          <w:bCs w:val="1"/>
        </w:rPr>
        <w:t xml:space="preserve">third part of men</w:t>
      </w:r>
      <w:r>
        <w:rPr/>
        <w:t xml:space="preserve"> </w:t>
      </w:r>
      <w:r>
        <w:rPr>
          <w:rStyle w:val="FootnoteReference"/>
        </w:rPr>
        <w:footnoteReference w:id="314"/>
      </w:r>
      <w:r>
        <w:rPr/>
        <w:t xml:space="preserve">.</w:t>
      </w:r>
    </w:p>
    <w:p>
      <w:pPr>
        <w:pStyle w:val="BodyVerse"/>
      </w:pPr>
      <w:r>
        <w:rPr>
          <w:b w:val="1"/>
          <w:bCs w:val="1"/>
        </w:rPr>
        <w:t xml:space="preserve">[[@Bible:Re 9:16]] </w:t>
      </w:r>
      <w:r>
        <w:rPr>
          <w:sz w:val="22"/>
          <w:szCs w:val="22"/>
          <w:b w:val="1"/>
          <w:bCs w:val="1"/>
          <w:vertAlign w:val="superscript"/>
        </w:rPr>
        <w:t xml:space="preserve">16  </w:t>
      </w:r>
      <w:r>
        <w:rPr/>
        <w:t xml:space="preserve">And the number of </w:t>
      </w:r>
      <w:r>
        <w:rPr>
          <w:b w:val="1"/>
          <w:bCs w:val="1"/>
        </w:rPr>
        <w:t xml:space="preserve">the army of the horsemen was two hundred thousand thousand: and I heard the number of them.</w:t>
      </w:r>
      <w:r>
        <w:rPr/>
        <w:t xml:space="preserve"> </w:t>
      </w:r>
      <w:r>
        <w:rPr>
          <w:rStyle w:val="FootnoteReference"/>
        </w:rPr>
        <w:footnoteReference w:id="315"/>
      </w:r>
    </w:p>
    <w:p>
      <w:pPr>
        <w:jc w:val="left"/>
        <w:ind w:left="360" w:right="0" w:firstLine="0" w:hanging="0"/>
        <w:spacing w:after="60"/>
      </w:pPr>
      <w:r>
        <w:rPr>
          <w:sz w:val="18"/>
          <w:szCs w:val="18"/>
          <w:i w:val="1"/>
          <w:iCs w:val="1"/>
        </w:rPr>
        <w:t xml:space="preserve">[fn] ESV, "The number of mounted troops was twice ten thousand times ten thousand; I heard their number." The ESV renders the phrase idiomatically ("twice ten thousand times ten thousand"), preserving the apocalyptic numeric form of δισ μυριαδες μυριαδων. However, the added clause "I heard their number" (ηκουσα τον αριθμον αυτων) indicates an explicitly enumerated total, not a vague expression of magnitude. This supports the KJV's inference of a precise count, even while the Greek presents that count in a stylized, idiomatic form.</w:t>
      </w:r>
    </w:p>
    <w:p>
      <w:pPr>
        <w:pStyle w:val="BodyVerse"/>
      </w:pPr>
      <w:r>
        <w:rPr>
          <w:b w:val="1"/>
          <w:bCs w:val="1"/>
        </w:rPr>
        <w:t xml:space="preserve">[[@Bible:Re 9:17]] </w:t>
      </w:r>
      <w:r>
        <w:rPr>
          <w:sz w:val="22"/>
          <w:szCs w:val="22"/>
          <w:b w:val="1"/>
          <w:bCs w:val="1"/>
          <w:vertAlign w:val="superscript"/>
        </w:rPr>
        <w:t xml:space="preserve">17  </w:t>
      </w:r>
      <w:r>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2"/>
          <w:szCs w:val="22"/>
          <w:b w:val="1"/>
          <w:bCs w:val="1"/>
          <w:vertAlign w:val="superscript"/>
        </w:rPr>
        <w:t xml:space="preserve">18  </w:t>
      </w:r>
      <w:r>
        <w:rPr/>
        <w:t xml:space="preserve">By these three [plagues] was the </w:t>
      </w:r>
      <w:r>
        <w:rPr>
          <w:b w:val="1"/>
          <w:bCs w:val="1"/>
        </w:rPr>
        <w:t xml:space="preserve">third part of men killed</w:t>
      </w:r>
      <w:r>
        <w:rPr/>
        <w:t xml:space="preserve"> </w:t>
      </w:r>
      <w:r>
        <w:rPr>
          <w:rStyle w:val="FootnoteReference"/>
        </w:rPr>
        <w:footnoteReference w:id="316"/>
      </w:r>
      <w:r>
        <w:rPr/>
        <w:t xml:space="preserve">, by the fire, and by the smoke, and by the brimstone, which issued out of their mouths.</w:t>
      </w:r>
    </w:p>
    <w:p>
      <w:pPr>
        <w:jc w:val="left"/>
        <w:ind w:left="360" w:right="0" w:firstLine="0" w:hanging="0"/>
        <w:spacing w:after="60"/>
      </w:pPr>
      <w:r>
        <w:rPr>
          <w:sz w:val="18"/>
          <w:szCs w:val="18"/>
          <w:i w:val="1"/>
          <w:iCs w:val="1"/>
        </w:rPr>
        <w:t xml:space="preserve">[fn] In the TR/KJV the word "plagues" (πληγή) does not appear here, but it is present in the TR at 9:20.</w:t>
      </w:r>
    </w:p>
    <w:p>
      <w:pPr>
        <w:pStyle w:val="BodyVerse"/>
      </w:pPr>
      <w:r>
        <w:rPr>
          <w:b w:val="1"/>
          <w:bCs w:val="1"/>
        </w:rPr>
        <w:t xml:space="preserve">[[@Bible:Re 9:19]] </w:t>
      </w:r>
      <w:r>
        <w:rPr>
          <w:sz w:val="22"/>
          <w:szCs w:val="22"/>
          <w:b w:val="1"/>
          <w:bCs w:val="1"/>
          <w:vertAlign w:val="superscript"/>
        </w:rPr>
        <w:t xml:space="preserve">19  </w:t>
      </w:r>
      <w:r>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2"/>
          <w:szCs w:val="22"/>
          <w:b w:val="1"/>
          <w:bCs w:val="1"/>
          <w:vertAlign w:val="superscript"/>
        </w:rPr>
        <w:t xml:space="preserve">20  </w:t>
      </w:r>
      <w:r>
        <w:rPr/>
        <w:t xml:space="preserve">And the rest of the men who were not killed by these plagues yet repented not of the </w:t>
      </w:r>
      <w:r>
        <w:rPr>
          <w:b w:val="1"/>
          <w:bCs w:val="1"/>
        </w:rPr>
        <w:t xml:space="preserve">works of their hands</w:t>
      </w:r>
      <w:r>
        <w:rPr/>
        <w:t xml:space="preserve"> </w:t>
      </w:r>
      <w:r>
        <w:rPr>
          <w:rStyle w:val="FootnoteReference"/>
        </w:rPr>
        <w:footnoteReference w:id="317"/>
      </w:r>
      <w:r>
        <w:rPr/>
        <w:t xml:space="preserve">, that they should not worship demons, and idols of gold, and silver, and brass, and stone, and of wood: which neither can see, nor hear, nor walk:</w:t>
      </w:r>
    </w:p>
    <w:p>
      <w:pPr>
        <w:pStyle w:val="BodyVerse"/>
      </w:pPr>
      <w:r>
        <w:rPr>
          <w:b w:val="1"/>
          <w:bCs w:val="1"/>
        </w:rPr>
        <w:t xml:space="preserve">[[@Bible:Re 9:21]] </w:t>
      </w:r>
      <w:r>
        <w:rPr>
          <w:sz w:val="22"/>
          <w:szCs w:val="22"/>
          <w:b w:val="1"/>
          <w:bCs w:val="1"/>
          <w:vertAlign w:val="superscript"/>
        </w:rPr>
        <w:t xml:space="preserve">21  </w:t>
      </w:r>
      <w:r>
        <w:rPr/>
        <w:t xml:space="preserve">Neither repented </w:t>
      </w:r>
      <w:r>
        <w:rPr>
          <w:b w:val="1"/>
          <w:bCs w:val="1"/>
        </w:rPr>
        <w:t xml:space="preserve">they of their murders, nor of their sorceries, nor of their fornication, nor of their thefts</w:t>
      </w:r>
      <w:r>
        <w:rPr/>
        <w:t xml:space="preserve"> </w:t>
      </w:r>
      <w:r>
        <w:rPr>
          <w:rStyle w:val="FootnoteReference"/>
        </w:rPr>
        <w:footnoteReference w:id="318"/>
      </w:r>
      <w:r>
        <w:rPr/>
        <w:t xml:space="preserve">.</w:t>
      </w:r>
    </w:p>
    <w:p>
      <w:pPr>
        <w:jc w:val="center"/>
        <w:spacing w:before="120" w:after="60"/>
      </w:pPr>
      <w:r>
        <w:rPr>
          <w:sz w:val="36"/>
          <w:szCs w:val="36"/>
          <w:b w:val="1"/>
          <w:bCs w:val="1"/>
        </w:rPr>
        <w:t xml:space="preserve">✶</w:t>
      </w:r>
    </w:p>
    <w:p>
      <w:pPr>
        <w:pStyle w:val="Heading2"/>
      </w:pPr>
      <w:bookmarkStart w:id="45" w:name="_Toc45"/>
      <w:r>
        <w:t>John Eats the Diminutive Book and The 7th Voice</w:t>
      </w:r>
      <w:bookmarkEnd w:id="45"/>
    </w:p>
    <w:p>
      <w:pPr>
        <w:pStyle w:val="SectionBody"/>
      </w:pPr>
      <w:r>
        <w:rPr>
          <w:b w:val="1"/>
          <w:bCs w:val="1"/>
        </w:rPr>
        <w:t xml:space="preserve">Parenthetical Scene 2:</w:t>
      </w:r>
      <w:r>
        <w:rPr/>
        <w:t xml:space="preserve"> This is parenthetical because. It clearly breaks the theme and changes the focus to other prophetic details, even though it will cover the coming seventh trumpet. This is a foreshadowing declaration of Jesus coming in the cloud in Revelation 14:16. [Jesus gives John a little book](/articles/the-mighty-angel-and-the-scroll.html) before the 7th trumpet sounds. So, the end of this time (season of waiting for judgment) comes during the days following the 7th trumpet. Finally, this also tells us that trumpets can also be voices.</w:t>
      </w:r>
    </w:p>
    <w:p>
      <w:pPr>
        <w:spacing w:after="150"/>
      </w:pPr>
      <w:r>
        <w:rPr/>
        <w:t xml:space="preserve"/>
      </w:r>
    </w:p>
    <w:p>
      <w:pPr>
        <w:pStyle w:val="BodyVerse"/>
      </w:pPr>
      <w:r>
        <w:rPr>
          <w:b w:val="1"/>
          <w:bCs w:val="1"/>
        </w:rPr>
        <w:t xml:space="preserve">[[@Bible:Re 10:1]] </w:t>
      </w:r>
      <w:r>
        <w:rPr>
          <w:sz w:val="22"/>
          <w:szCs w:val="22"/>
          <w:b w:val="1"/>
          <w:bCs w:val="1"/>
          <w:vertAlign w:val="superscript"/>
        </w:rPr>
        <w:t xml:space="preserve">1  </w:t>
      </w:r>
      <w:r>
        <w:rPr/>
        <w:t xml:space="preserve">And I saw another </w:t>
      </w:r>
      <w:r>
        <w:rPr>
          <w:b w:val="1"/>
          <w:bCs w:val="1"/>
        </w:rPr>
        <w:t xml:space="preserve">strong messenger</w:t>
      </w:r>
      <w:r>
        <w:rPr/>
        <w:t xml:space="preserve"> </w:t>
      </w:r>
      <w:r>
        <w:rPr>
          <w:rStyle w:val="FootnoteReference"/>
        </w:rPr>
        <w:footnoteReference w:id="319"/>
      </w:r>
      <w:r>
        <w:rPr/>
        <w:t xml:space="preserve"> come down from heaven, </w:t>
      </w:r>
      <w:r>
        <w:rPr>
          <w:b w:val="1"/>
          <w:bCs w:val="1"/>
        </w:rPr>
        <w:t xml:space="preserve">clothed with a cloud</w:t>
      </w:r>
      <w:r>
        <w:rPr/>
        <w:t xml:space="preserve"> </w:t>
      </w:r>
      <w:r>
        <w:rPr>
          <w:rStyle w:val="FootnoteReference"/>
        </w:rPr>
        <w:footnoteReference w:id="320"/>
      </w:r>
      <w:r>
        <w:rPr/>
        <w:t xml:space="preserve">: and </w:t>
      </w:r>
      <w:r>
        <w:rPr>
          <w:b w:val="1"/>
          <w:bCs w:val="1"/>
        </w:rPr>
        <w:t xml:space="preserve">a rainbow was upon his head</w:t>
      </w:r>
      <w:r>
        <w:rPr/>
        <w:t xml:space="preserve"> </w:t>
      </w:r>
      <w:r>
        <w:rPr>
          <w:rStyle w:val="FootnoteReference"/>
        </w:rPr>
        <w:footnoteReference w:id="321"/>
      </w:r>
      <w:r>
        <w:rPr/>
        <w:t xml:space="preserve">, and </w:t>
      </w:r>
      <w:r>
        <w:rPr>
          <w:b w:val="1"/>
          <w:bCs w:val="1"/>
        </w:rPr>
        <w:t xml:space="preserve">his face was as it were the sun</w:t>
      </w:r>
      <w:r>
        <w:rPr/>
        <w:t xml:space="preserve"> </w:t>
      </w:r>
      <w:r>
        <w:rPr>
          <w:rStyle w:val="FootnoteReference"/>
        </w:rPr>
        <w:footnoteReference w:id="322"/>
      </w:r>
      <w:r>
        <w:rPr/>
        <w:t xml:space="preserve"> </w:t>
      </w:r>
      <w:r>
        <w:rPr>
          <w:rStyle w:val="FootnoteReference"/>
        </w:rPr>
        <w:footnoteReference w:id="323"/>
      </w:r>
      <w:r>
        <w:rPr/>
        <w:t xml:space="preserve">, and </w:t>
      </w:r>
      <w:r>
        <w:rPr>
          <w:b w:val="1"/>
          <w:bCs w:val="1"/>
        </w:rPr>
        <w:t xml:space="preserve">his feet as pillars of fire</w:t>
      </w:r>
      <w:r>
        <w:rPr/>
        <w:t xml:space="preserve"> </w:t>
      </w:r>
      <w:r>
        <w:rPr>
          <w:rStyle w:val="FootnoteReference"/>
        </w:rPr>
        <w:footnoteReference w:id="324"/>
      </w:r>
      <w:r>
        <w:rPr/>
        <w:t xml:space="preserve"> </w:t>
      </w:r>
      <w:r>
        <w:rPr>
          <w:rStyle w:val="FootnoteReference"/>
        </w:rPr>
        <w:footnoteReference w:id="325"/>
      </w:r>
      <w:r>
        <w:rPr/>
        <w:t xml:space="preserve">:</w:t>
      </w:r>
    </w:p>
    <w:p>
      <w:pPr>
        <w:jc w:val="left"/>
        <w:ind w:left="360" w:right="0" w:firstLine="0" w:hanging="0"/>
        <w:spacing w:after="60"/>
      </w:pPr>
      <w:r>
        <w:rPr>
          <w:sz w:val="18"/>
          <w:szCs w:val="18"/>
          <w:i w:val="1"/>
          <w:iCs w:val="1"/>
        </w:rPr>
        <w:t xml:space="preserve">[fn] ἄγγελος, ἀγγέλου = "messenger", this is Jesus as a messenger, he is a strong messenger but not the same as the first "strong" angel in 5:2.</w:t>
      </w:r>
    </w:p>
    <w:p>
      <w:pPr>
        <w:jc w:val="left"/>
        <w:ind w:left="360" w:right="0" w:firstLine="0" w:hanging="0"/>
        <w:spacing w:after="60"/>
      </w:pPr>
      <w:r>
        <w:rPr>
          <w:sz w:val="18"/>
          <w:szCs w:val="18"/>
          <w:i w:val="1"/>
          <w:iCs w:val="1"/>
        </w:rPr>
        <w:t xml:space="preserve">[fn] Matches Jesus, 14:14 "behold a white cloud, and upon the cloud one sat like unto the Son of man".</w:t>
      </w:r>
    </w:p>
    <w:p>
      <w:pPr>
        <w:jc w:val="left"/>
        <w:ind w:left="360" w:right="0" w:firstLine="0" w:hanging="0"/>
        <w:spacing w:after="60"/>
      </w:pPr>
      <w:r>
        <w:rPr>
          <w:sz w:val="18"/>
          <w:szCs w:val="18"/>
          <w:i w:val="1"/>
          <w:iCs w:val="1"/>
        </w:rPr>
        <w:t xml:space="preserve">[fn] Matches Jesus in 1:15 "And his feet like unto fine brass, as if they burned in a furnace", "legs" in the ESV.</w:t>
      </w:r>
    </w:p>
    <w:p>
      <w:pPr>
        <w:pStyle w:val="BodyVerse"/>
      </w:pPr>
      <w:r>
        <w:rPr>
          <w:b w:val="1"/>
          <w:bCs w:val="1"/>
        </w:rPr>
        <w:t xml:space="preserve">[[@Bible:Re 10:2]] </w:t>
      </w:r>
      <w:r>
        <w:rPr>
          <w:sz w:val="22"/>
          <w:szCs w:val="22"/>
          <w:b w:val="1"/>
          <w:bCs w:val="1"/>
          <w:vertAlign w:val="superscript"/>
        </w:rPr>
        <w:t xml:space="preserve">2  </w:t>
      </w:r>
      <w:r>
        <w:rPr/>
        <w:t xml:space="preserve">And he had in his hand </w:t>
      </w:r>
      <w:r>
        <w:rPr>
          <w:b w:val="1"/>
          <w:bCs w:val="1"/>
        </w:rPr>
        <w:t xml:space="preserve">a diminutive book open</w:t>
      </w:r>
      <w:r>
        <w:rPr/>
        <w:t xml:space="preserve"> </w:t>
      </w:r>
      <w:r>
        <w:rPr>
          <w:rStyle w:val="FootnoteReference"/>
        </w:rPr>
        <w:footnoteReference w:id="326"/>
      </w:r>
      <w:r>
        <w:rPr/>
        <w:t xml:space="preserve"> </w:t>
      </w:r>
      <w:r>
        <w:rPr>
          <w:rStyle w:val="FootnoteReference"/>
        </w:rPr>
        <w:footnoteReference w:id="327"/>
      </w:r>
      <w:r>
        <w:rPr/>
        <w:t xml:space="preserve">: and he set his </w:t>
      </w:r>
      <w:r>
        <w:rPr>
          <w:b w:val="1"/>
          <w:bCs w:val="1"/>
        </w:rPr>
        <w:t xml:space="preserve">right foot upon the sea</w:t>
      </w:r>
      <w:r>
        <w:rPr/>
        <w:t xml:space="preserve"> </w:t>
      </w:r>
      <w:r>
        <w:rPr>
          <w:color w:val="4A6FA5"/>
          <w:sz w:val="18"/>
          <w:szCs w:val="18"/>
        </w:rPr>
        <w:t xml:space="preserve"> (i</w:t>
      </w:r>
      <w:r>
        <w:rPr>
          <w:rStyle w:val="FootnoteReference"/>
        </w:rPr>
        <w:footnoteReference w:id="328"/>
      </w:r>
      <w:r>
        <w:rPr>
          <w:color w:val="4A6FA5"/>
          <w:sz w:val="18"/>
          <w:szCs w:val="18"/>
        </w:rPr>
        <w:t xml:space="preserve">) </w:t>
      </w:r>
      <w:r>
        <w:rPr/>
        <w:t xml:space="preserve"> </w:t>
      </w:r>
      <w:r>
        <w:rPr>
          <w:rStyle w:val="FootnoteReference"/>
        </w:rPr>
        <w:footnoteReference w:id="329"/>
      </w:r>
      <w:r>
        <w:rPr/>
        <w:t xml:space="preserve">, and </w:t>
      </w:r>
      <w:r>
        <w:rPr>
          <w:b w:val="1"/>
          <w:bCs w:val="1"/>
        </w:rPr>
        <w:t xml:space="preserve">his left foot on the earth</w:t>
      </w:r>
      <w:r>
        <w:rPr/>
        <w:t xml:space="preserve"> </w:t>
      </w:r>
      <w:r>
        <w:rPr>
          <w:color w:val="4A6FA5"/>
          <w:sz w:val="18"/>
          <w:szCs w:val="18"/>
        </w:rPr>
        <w:t xml:space="preserve"> (i</w:t>
      </w:r>
      <w:r>
        <w:rPr>
          <w:rStyle w:val="FootnoteReference"/>
        </w:rPr>
        <w:footnoteReference w:id="330"/>
      </w:r>
      <w:r>
        <w:rPr>
          <w:color w:val="4A6FA5"/>
          <w:sz w:val="18"/>
          <w:szCs w:val="18"/>
        </w:rPr>
        <w:t xml:space="preserve">) </w:t>
      </w:r>
      <w:r>
        <w:rPr/>
        <w:t xml:space="preserve"> </w:t>
      </w:r>
      <w:r>
        <w:rPr>
          <w:rStyle w:val="FootnoteReference"/>
        </w:rPr>
        <w:footnoteReference w:id="331"/>
      </w:r>
      <w:r>
        <w:rPr/>
        <w:t xml:space="preserve"> </w:t>
      </w:r>
      <w:r>
        <w:rPr>
          <w:rStyle w:val="FootnoteReference"/>
        </w:rPr>
        <w:footnoteReference w:id="332"/>
      </w:r>
      <w:r>
        <w:rPr/>
        <w:t xml:space="preserve">,</w:t>
      </w:r>
    </w:p>
    <w:p>
      <w:pPr>
        <w:jc w:val="left"/>
        <w:ind w:left="360" w:right="0" w:firstLine="0" w:hanging="0"/>
        <w:spacing w:after="60"/>
      </w:pPr>
      <w:r>
        <w:rPr>
          <w:sz w:val="18"/>
          <w:szCs w:val="18"/>
          <w:i w:val="1"/>
          <w:iCs w:val="1"/>
        </w:rPr>
        <w:t xml:space="preserve">[fn] His position to the sea and earth are also linked to the position of His hands raised to heaven. His position is setting up for His "swear" that it will be upon all creation that is: heaven, earth, and sea. So, the meaning of the earth and sea here is its connection in his posture to the power of the "swear". The point is that this "swear" is to be very powerful and sure.</w:t>
      </w:r>
    </w:p>
    <w:p>
      <w:pPr>
        <w:jc w:val="left"/>
        <w:ind w:left="360" w:right="0" w:firstLine="0" w:hanging="0"/>
        <w:spacing w:after="60"/>
      </w:pPr>
      <w:r>
        <w:rPr>
          <w:sz w:val="18"/>
          <w:szCs w:val="18"/>
          <w:i w:val="1"/>
          <w:iCs w:val="1"/>
        </w:rPr>
        <w:t xml:space="preserve">[fn] The term rendered “diminutive book” translates the Greek βιβλαρίδιον (biblaridion), a diminutive form of βιβλίον (“book”). The suffix -άριδιον marks a reduced or derived form of the base noun. While such diminutives can indicate smaller size, in Koine Greek they often function to distinguish a related but separate object rather than to imply insignificance. The rendering “diminutive book” is used here to preserve a consistent one-to-one correspondence between Greek and English terms, avoiding the reuse of common size descriptors (e.g., “little,” “small”) while retaining the grammatical force of the diminutive form.</w:t>
      </w:r>
    </w:p>
    <w:p>
      <w:pPr>
        <w:pStyle w:val="BodyVerse"/>
      </w:pPr>
      <w:r>
        <w:rPr>
          <w:b w:val="1"/>
          <w:bCs w:val="1"/>
        </w:rPr>
        <w:t xml:space="preserve">[[@Bible:Re 10:3]] </w:t>
      </w:r>
      <w:r>
        <w:rPr>
          <w:sz w:val="22"/>
          <w:szCs w:val="22"/>
          <w:b w:val="1"/>
          <w:bCs w:val="1"/>
          <w:vertAlign w:val="superscript"/>
        </w:rPr>
        <w:t xml:space="preserve">3  </w:t>
      </w:r>
      <w:r>
        <w:rPr/>
        <w:t xml:space="preserve">And </w:t>
      </w:r>
      <w:r>
        <w:rPr>
          <w:b w:val="1"/>
          <w:bCs w:val="1"/>
        </w:rPr>
        <w:t xml:space="preserve">cried with a great voice, as when a lion roars</w:t>
      </w:r>
      <w:r>
        <w:rPr/>
        <w:t xml:space="preserve"> </w:t>
      </w:r>
      <w:r>
        <w:rPr>
          <w:rStyle w:val="FootnoteReference"/>
        </w:rPr>
        <w:footnoteReference w:id="333"/>
      </w:r>
      <w:r>
        <w:rPr/>
        <w:t xml:space="preserve">: and when he had cried, </w:t>
      </w:r>
      <w:r>
        <w:rPr>
          <w:b w:val="1"/>
          <w:bCs w:val="1"/>
        </w:rPr>
        <w:t xml:space="preserve">seven thunders uttered their voices</w:t>
      </w:r>
      <w:r>
        <w:rPr/>
        <w:t xml:space="preserve">.</w:t>
      </w:r>
    </w:p>
    <w:p>
      <w:pPr>
        <w:jc w:val="left"/>
        <w:ind w:left="360" w:right="0" w:firstLine="0" w:hanging="0"/>
        <w:spacing w:after="60"/>
      </w:pPr>
      <w:r>
        <w:rPr>
          <w:sz w:val="18"/>
          <w:szCs w:val="18"/>
          <w:i w:val="1"/>
          <w:iCs w:val="1"/>
        </w:rPr>
        <w:t xml:space="preserve">[fn] In the Old Testament, the lion's roar is consistently used as a metaphor for the voice of God Himself, not angels or human messengers (e.g., Hos 11:10; Joel 3:16; Amos 1:2; Jer 25:30). In the book of Revelation, Jesus is connected to that same image of God.</w:t>
      </w:r>
    </w:p>
    <w:p>
      <w:pPr>
        <w:jc w:val="left"/>
        <w:ind w:left="360" w:right="0" w:firstLine="0" w:hanging="0"/>
        <w:spacing w:after="60"/>
      </w:pPr>
      <w:r>
        <w:rPr>
          <w:sz w:val="18"/>
          <w:szCs w:val="18"/>
          <w:i w:val="1"/>
          <w:iCs w:val="1"/>
        </w:rPr>
        <w:t xml:space="preserve">[fn] ἐλάλησαν — they spoke — third-person plural. The subject is not the mighty angel. These thundering voices are not of Jesus.</w:t>
      </w:r>
    </w:p>
    <w:p>
      <w:pPr>
        <w:pStyle w:val="BodyVerse"/>
      </w:pPr>
      <w:r>
        <w:rPr>
          <w:b w:val="1"/>
          <w:bCs w:val="1"/>
        </w:rPr>
        <w:t xml:space="preserve">[[@Bible:Re 10:4]] </w:t>
      </w:r>
      <w:r>
        <w:rPr>
          <w:sz w:val="22"/>
          <w:szCs w:val="22"/>
          <w:b w:val="1"/>
          <w:bCs w:val="1"/>
          <w:vertAlign w:val="superscript"/>
        </w:rPr>
        <w:t xml:space="preserve">4  </w:t>
      </w:r>
      <w:r>
        <w:rPr/>
        <w:t xml:space="preserve">And when the seven thunders had spoken</w:t>
      </w:r>
      <w:r>
        <w:rPr/>
        <w:t xml:space="preserve">, I was about to write: and I heard a </w:t>
      </w:r>
      <w:r>
        <w:rPr>
          <w:b w:val="1"/>
          <w:bCs w:val="1"/>
        </w:rPr>
        <w:t xml:space="preserve">voice from heaven</w:t>
      </w:r>
      <w:r>
        <w:rPr/>
        <w:t xml:space="preserve"> </w:t>
      </w:r>
      <w:r>
        <w:rPr>
          <w:rStyle w:val="FootnoteReference"/>
        </w:rPr>
        <w:footnoteReference w:id="334"/>
      </w:r>
      <w:r>
        <w:rPr/>
        <w:t xml:space="preserve"> saying unto me, Seal up those things which the seven thunders spoke, and </w:t>
      </w:r>
      <w:r>
        <w:rPr>
          <w:b w:val="1"/>
          <w:bCs w:val="1"/>
        </w:rPr>
        <w:t xml:space="preserve">write them not</w:t>
      </w:r>
      <w:r>
        <w:rPr/>
        <w:t xml:space="preserve"> </w:t>
      </w:r>
      <w:r>
        <w:rPr>
          <w:rStyle w:val="FootnoteReference"/>
        </w:rPr>
        <w:footnoteReference w:id="335"/>
      </w:r>
      <w:r>
        <w:rPr/>
        <w:t xml:space="preserve">.</w:t>
      </w:r>
    </w:p>
    <w:p>
      <w:pPr>
        <w:jc w:val="left"/>
        <w:ind w:left="360" w:right="0" w:firstLine="0" w:hanging="0"/>
        <w:spacing w:after="60"/>
      </w:pPr>
      <w:r>
        <w:rPr>
          <w:sz w:val="18"/>
          <w:szCs w:val="18"/>
          <w:i w:val="1"/>
          <w:iCs w:val="1"/>
        </w:rPr>
        <w:t xml:space="preserve">[fn] The seven thunders are plural and distinct from Jesus the mighty angel.</w:t>
      </w:r>
    </w:p>
    <w:p>
      <w:pPr>
        <w:pStyle w:val="BodyVerse"/>
      </w:pPr>
      <w:r>
        <w:rPr>
          <w:b w:val="1"/>
          <w:bCs w:val="1"/>
        </w:rPr>
        <w:t xml:space="preserve">[[@Bible:Re 10:5]] </w:t>
      </w:r>
      <w:r>
        <w:rPr>
          <w:sz w:val="22"/>
          <w:szCs w:val="22"/>
          <w:b w:val="1"/>
          <w:bCs w:val="1"/>
          <w:vertAlign w:val="superscript"/>
        </w:rPr>
        <w:t xml:space="preserve">5  </w:t>
      </w:r>
      <w:r>
        <w:rPr/>
        <w:t xml:space="preserve">And the messenger whom I saw stand upon the sea and upon the earth lifted up </w:t>
      </w:r>
      <w:r>
        <w:rPr>
          <w:b w:val="1"/>
          <w:bCs w:val="1"/>
        </w:rPr>
        <w:t xml:space="preserve">his hand to heaven</w:t>
      </w:r>
      <w:r>
        <w:rPr/>
        <w:t xml:space="preserve"> </w:t>
      </w:r>
      <w:r>
        <w:rPr>
          <w:color w:val="4A6FA5"/>
          <w:sz w:val="18"/>
          <w:szCs w:val="18"/>
        </w:rPr>
        <w:t xml:space="preserve"> (i</w:t>
      </w:r>
      <w:r>
        <w:rPr>
          <w:rStyle w:val="FootnoteReference"/>
        </w:rPr>
        <w:footnoteReference w:id="336"/>
      </w:r>
      <w:r>
        <w:rPr>
          <w:color w:val="4A6FA5"/>
          <w:sz w:val="18"/>
          <w:szCs w:val="18"/>
        </w:rPr>
        <w:t xml:space="preserve">) </w:t>
      </w:r>
      <w:r>
        <w:rPr/>
        <w:t xml:space="preserve"> </w:t>
      </w:r>
      <w:r>
        <w:rPr>
          <w:rStyle w:val="FootnoteReference"/>
        </w:rPr>
        <w:footnoteReference w:id="337"/>
      </w:r>
      <w:r>
        <w:rPr/>
        <w:t xml:space="preserve">,</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10:6]] </w:t>
      </w:r>
      <w:r>
        <w:rPr>
          <w:sz w:val="22"/>
          <w:szCs w:val="22"/>
          <w:b w:val="1"/>
          <w:bCs w:val="1"/>
          <w:vertAlign w:val="superscript"/>
        </w:rPr>
        <w:t xml:space="preserve">6  </w:t>
      </w:r>
      <w:r>
        <w:rPr/>
        <w:t xml:space="preserve">And swore by </w:t>
      </w:r>
      <w:r>
        <w:rPr>
          <w:b w:val="1"/>
          <w:bCs w:val="1"/>
        </w:rPr>
        <w:t xml:space="preserve">him that lives forever and ever</w:t>
      </w:r>
      <w:r>
        <w:rPr/>
        <w:t xml:space="preserve"> </w:t>
      </w:r>
      <w:r>
        <w:rPr>
          <w:rStyle w:val="FootnoteReference"/>
        </w:rPr>
        <w:footnoteReference w:id="338"/>
      </w:r>
      <w:r>
        <w:rPr/>
        <w:t xml:space="preserve"> </w:t>
      </w:r>
      <w:r>
        <w:rPr>
          <w:rStyle w:val="FootnoteReference"/>
        </w:rPr>
        <w:footnoteReference w:id="339"/>
      </w:r>
      <w:r>
        <w:rPr/>
        <w:t xml:space="preserve">, </w:t>
      </w:r>
      <w:r>
        <w:rPr>
          <w:b w:val="1"/>
          <w:bCs w:val="1"/>
        </w:rPr>
        <w:t xml:space="preserve">who created</w:t>
      </w:r>
      <w:r>
        <w:rPr/>
        <w:t xml:space="preserve"> </w:t>
      </w:r>
      <w:r>
        <w:rPr>
          <w:rStyle w:val="FootnoteReference"/>
        </w:rPr>
        <w:footnoteReference w:id="340"/>
      </w:r>
      <w:r>
        <w:rPr/>
        <w:t xml:space="preserve"> </w:t>
      </w:r>
      <w:r>
        <w:rPr>
          <w:b w:val="1"/>
          <w:bCs w:val="1"/>
        </w:rPr>
        <w:t xml:space="preserve">heaven</w:t>
      </w:r>
      <w:r>
        <w:rPr/>
        <w:t xml:space="preserve"> </w:t>
      </w:r>
      <w:r>
        <w:rPr>
          <w:color w:val="4A6FA5"/>
          <w:sz w:val="18"/>
          <w:szCs w:val="18"/>
        </w:rPr>
        <w:t xml:space="preserve"> (i</w:t>
      </w:r>
      <w:r>
        <w:rPr>
          <w:rStyle w:val="FootnoteReference"/>
        </w:rPr>
        <w:footnoteReference w:id="341"/>
      </w:r>
      <w:r>
        <w:rPr>
          <w:color w:val="4A6FA5"/>
          <w:sz w:val="18"/>
          <w:szCs w:val="18"/>
        </w:rPr>
        <w:t xml:space="preserve">) </w:t>
      </w:r>
      <w:r>
        <w:rPr/>
        <w:t xml:space="preserve"> </w:t>
      </w:r>
      <w:r>
        <w:rPr>
          <w:rStyle w:val="FootnoteReference"/>
        </w:rPr>
        <w:footnoteReference w:id="342"/>
      </w:r>
      <w:r>
        <w:rPr/>
        <w:t xml:space="preserve">, and the things that therein are, and </w:t>
      </w:r>
      <w:r>
        <w:rPr>
          <w:b w:val="1"/>
          <w:bCs w:val="1"/>
        </w:rPr>
        <w:t xml:space="preserve">the earth</w:t>
      </w:r>
      <w:r>
        <w:rPr/>
        <w:t xml:space="preserve"> </w:t>
      </w:r>
      <w:r>
        <w:rPr>
          <w:color w:val="4A6FA5"/>
          <w:sz w:val="18"/>
          <w:szCs w:val="18"/>
        </w:rPr>
        <w:t xml:space="preserve"> (i</w:t>
      </w:r>
      <w:r>
        <w:rPr>
          <w:rStyle w:val="FootnoteReference"/>
        </w:rPr>
        <w:footnoteReference w:id="343"/>
      </w:r>
      <w:r>
        <w:rPr>
          <w:color w:val="4A6FA5"/>
          <w:sz w:val="18"/>
          <w:szCs w:val="18"/>
        </w:rPr>
        <w:t xml:space="preserve">) </w:t>
      </w:r>
      <w:r>
        <w:rPr/>
        <w:t xml:space="preserve"> </w:t>
      </w:r>
      <w:r>
        <w:rPr>
          <w:rStyle w:val="FootnoteReference"/>
        </w:rPr>
        <w:footnoteReference w:id="344"/>
      </w:r>
      <w:r>
        <w:rPr/>
        <w:t xml:space="preserve">, and the things that therein are, and </w:t>
      </w:r>
      <w:r>
        <w:rPr>
          <w:b w:val="1"/>
          <w:bCs w:val="1"/>
        </w:rPr>
        <w:t xml:space="preserve">the sea</w:t>
      </w:r>
      <w:r>
        <w:rPr/>
        <w:t xml:space="preserve"> </w:t>
      </w:r>
      <w:r>
        <w:rPr>
          <w:color w:val="4A6FA5"/>
          <w:sz w:val="18"/>
          <w:szCs w:val="18"/>
        </w:rPr>
        <w:t xml:space="preserve"> (i</w:t>
      </w:r>
      <w:r>
        <w:rPr>
          <w:rStyle w:val="FootnoteReference"/>
        </w:rPr>
        <w:footnoteReference w:id="345"/>
      </w:r>
      <w:r>
        <w:rPr>
          <w:color w:val="4A6FA5"/>
          <w:sz w:val="18"/>
          <w:szCs w:val="18"/>
        </w:rPr>
        <w:t xml:space="preserve">) </w:t>
      </w:r>
      <w:r>
        <w:rPr/>
        <w:t xml:space="preserve"> </w:t>
      </w:r>
      <w:r>
        <w:rPr>
          <w:rStyle w:val="FootnoteReference"/>
        </w:rPr>
        <w:footnoteReference w:id="346"/>
      </w:r>
      <w:r>
        <w:rPr/>
        <w:t xml:space="preserve">, and the things which are therein, that there should be </w:t>
      </w:r>
      <w:r>
        <w:rPr>
          <w:b w:val="1"/>
          <w:bCs w:val="1"/>
        </w:rPr>
        <w:t xml:space="preserve">season no longer</w:t>
      </w:r>
      <w:r>
        <w:rPr/>
        <w:t xml:space="preserve"> </w:t>
      </w:r>
      <w:r>
        <w:rPr>
          <w:color w:val="4A6FA5"/>
          <w:sz w:val="18"/>
          <w:szCs w:val="18"/>
        </w:rPr>
        <w:t xml:space="preserve"> (ls</w:t>
      </w:r>
      <w:r>
        <w:rPr>
          <w:rStyle w:val="FootnoteReference"/>
        </w:rPr>
        <w:footnoteReference w:id="347"/>
      </w:r>
      <w:r>
        <w:rPr>
          <w:color w:val="4A6FA5"/>
          <w:sz w:val="18"/>
          <w:szCs w:val="18"/>
        </w:rPr>
        <w:t xml:space="preserve">) </w:t>
      </w:r>
      <w:r>
        <w:rPr/>
        <w:t xml:space="preserve"> </w:t>
      </w:r>
      <w:r>
        <w:rPr>
          <w:color w:val="4A6FA5"/>
          <w:sz w:val="18"/>
          <w:szCs w:val="18"/>
        </w:rPr>
        <w:t xml:space="preserve"> (jt</w:t>
      </w:r>
      <w:r>
        <w:rPr>
          <w:rStyle w:val="FootnoteReference"/>
        </w:rPr>
        <w:footnoteReference w:id="348"/>
      </w:r>
      <w:r>
        <w:rPr>
          <w:color w:val="4A6FA5"/>
          <w:sz w:val="18"/>
          <w:szCs w:val="18"/>
        </w:rPr>
        <w:t xml:space="preserve">) </w:t>
      </w:r>
      <w:r>
        <w:rPr/>
        <w:t xml:space="preserve"> </w:t>
      </w:r>
      <w:r>
        <w:rPr>
          <w:rStyle w:val="FootnoteReference"/>
        </w:rPr>
        <w:footnoteReference w:id="349"/>
      </w:r>
      <w:r>
        <w:rPr/>
        <w:t xml:space="preserve">:</w:t>
      </w:r>
    </w:p>
    <w:p>
      <w:pPr>
        <w:jc w:val="left"/>
        <w:ind w:left="360" w:right="0" w:firstLine="0" w:hanging="0"/>
        <w:spacing w:after="60"/>
      </w:pPr>
      <w:r>
        <w:rPr>
          <w:sz w:val="18"/>
          <w:szCs w:val="18"/>
          <w:i w:val="1"/>
          <w:iCs w:val="1"/>
        </w:rPr>
        <w:t xml:space="preserve">[fn] οτι χρονος ουκ εσται ετι. The Greek reads the way the KJV shows it as "time no longer", but to form it to match the Greek the same word used in 6:11 should have been used, making it say "season no longer". I see this as the end of the season of waiting from Revelation 6:11 "a little season" when God "dost thou not judge and avenge our blood". That time is over at the blow of the seventh angel.</w:t>
      </w:r>
    </w:p>
    <w:p>
      <w:pPr>
        <w:pStyle w:val="BodyVerse"/>
      </w:pPr>
      <w:r>
        <w:rPr>
          <w:b w:val="1"/>
          <w:bCs w:val="1"/>
        </w:rPr>
        <w:t xml:space="preserve">[[@Bible:Re 10:7]] </w:t>
      </w:r>
      <w:r>
        <w:rPr>
          <w:sz w:val="22"/>
          <w:szCs w:val="22"/>
          <w:b w:val="1"/>
          <w:bCs w:val="1"/>
          <w:vertAlign w:val="superscript"/>
        </w:rPr>
        <w:t xml:space="preserve">7  </w:t>
      </w:r>
      <w:r>
        <w:rPr/>
        <w:t xml:space="preserve">But in the days of the </w:t>
      </w:r>
      <w:r>
        <w:rPr>
          <w:b w:val="1"/>
          <w:bCs w:val="1"/>
        </w:rPr>
        <w:t xml:space="preserve">voice of the seventh messenger</w:t>
      </w:r>
      <w:r>
        <w:rPr/>
        <w:t xml:space="preserve"> </w:t>
      </w:r>
      <w:r>
        <w:rPr>
          <w:color w:val="4A6FA5"/>
          <w:sz w:val="18"/>
          <w:szCs w:val="18"/>
        </w:rPr>
        <w:t xml:space="preserve"> (n</w:t>
      </w:r>
      <w:r>
        <w:rPr>
          <w:rStyle w:val="FootnoteReference"/>
        </w:rPr>
        <w:footnoteReference w:id="350"/>
      </w:r>
      <w:r>
        <w:rPr>
          <w:color w:val="4A6FA5"/>
          <w:sz w:val="18"/>
          <w:szCs w:val="18"/>
        </w:rPr>
        <w:t xml:space="preserve">) </w:t>
      </w:r>
      <w:r>
        <w:rPr/>
        <w:t xml:space="preserve">, when he shall begin to sound, the </w:t>
      </w:r>
      <w:r>
        <w:rPr>
          <w:b w:val="1"/>
          <w:bCs w:val="1"/>
        </w:rPr>
        <w:t xml:space="preserve">mystery</w:t>
      </w:r>
      <w:r>
        <w:rPr/>
        <w:t xml:space="preserve"> </w:t>
      </w:r>
      <w:r>
        <w:rPr>
          <w:rStyle w:val="FootnoteReference"/>
        </w:rPr>
        <w:footnoteReference w:id="351"/>
      </w:r>
      <w:r>
        <w:rPr/>
        <w:t xml:space="preserve"> of God </w:t>
      </w:r>
      <w:r>
        <w:rPr>
          <w:b w:val="1"/>
          <w:bCs w:val="1"/>
        </w:rPr>
        <w:t xml:space="preserve">should be finished</w:t>
      </w:r>
      <w:r>
        <w:rPr/>
        <w:t xml:space="preserve"> </w:t>
      </w:r>
      <w:r>
        <w:rPr>
          <w:rStyle w:val="FootnoteReference"/>
        </w:rPr>
        <w:footnoteReference w:id="352"/>
      </w:r>
      <w:r>
        <w:rPr/>
        <w:t xml:space="preserve">, as he has declared to </w:t>
      </w:r>
      <w:r>
        <w:rPr>
          <w:b w:val="1"/>
          <w:bCs w:val="1"/>
        </w:rPr>
        <w:t xml:space="preserve">his servants the prophets</w:t>
      </w:r>
      <w:r>
        <w:rPr/>
        <w:t xml:space="preserve"> </w:t>
      </w:r>
      <w:r>
        <w:rPr>
          <w:rStyle w:val="FootnoteReference"/>
        </w:rPr>
        <w:footnoteReference w:id="353"/>
      </w:r>
      <w:r>
        <w:rPr/>
        <w:t xml:space="preserve">.</w:t>
      </w:r>
    </w:p>
    <w:p>
      <w:pPr>
        <w:pStyle w:val="BodyVerse"/>
      </w:pPr>
      <w:r>
        <w:rPr>
          <w:b w:val="1"/>
          <w:bCs w:val="1"/>
        </w:rPr>
        <w:t xml:space="preserve">[[@Bible:Re 10:8]] </w:t>
      </w:r>
      <w:r>
        <w:rPr>
          <w:sz w:val="22"/>
          <w:szCs w:val="22"/>
          <w:b w:val="1"/>
          <w:bCs w:val="1"/>
          <w:vertAlign w:val="superscript"/>
        </w:rPr>
        <w:t xml:space="preserve">8  </w:t>
      </w:r>
      <w:r>
        <w:rPr/>
        <w:t xml:space="preserve">And the voice which I heard from heaven spake unto me again, and said, Go and take the </w:t>
      </w:r>
      <w:r>
        <w:rPr/>
        <w:t xml:space="preserve"> </w:t>
      </w:r>
      <w:r>
        <w:rPr>
          <w:b w:val="1"/>
          <w:bCs w:val="1"/>
        </w:rPr>
        <w:t xml:space="preserve">book</w:t>
      </w:r>
      <w:r>
        <w:rPr/>
        <w:t xml:space="preserve"> </w:t>
      </w:r>
      <w:r>
        <w:rPr>
          <w:rStyle w:val="FootnoteReference"/>
        </w:rPr>
        <w:footnoteReference w:id="354"/>
      </w:r>
      <w:r>
        <w:rPr/>
        <w:t xml:space="preserve"> which is open in the hand of the messenger who stands upon the sea and upon the earth.</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10:9]] </w:t>
      </w:r>
      <w:r>
        <w:rPr>
          <w:sz w:val="22"/>
          <w:szCs w:val="22"/>
          <w:b w:val="1"/>
          <w:bCs w:val="1"/>
          <w:vertAlign w:val="superscript"/>
        </w:rPr>
        <w:t xml:space="preserve">9  </w:t>
      </w:r>
      <w:r>
        <w:rPr/>
        <w:t xml:space="preserve">And I went unto the messenger, and said unto him, Give me the </w:t>
      </w:r>
      <w:r>
        <w:rPr>
          <w:b w:val="1"/>
          <w:bCs w:val="1"/>
        </w:rPr>
        <w:t xml:space="preserve">diminutive book</w:t>
      </w:r>
      <w:r>
        <w:rPr/>
        <w:t xml:space="preserve"> </w:t>
      </w:r>
      <w:r>
        <w:rPr>
          <w:rStyle w:val="FootnoteReference"/>
        </w:rPr>
        <w:footnoteReference w:id="355"/>
      </w:r>
      <w:r>
        <w:rPr/>
        <w:t xml:space="preserve">. And he said unto me, Take it, and eat it up; and it shall make thy belly bitter, but it shall be in thy mouth sweet as honey.</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10:10]] </w:t>
      </w:r>
      <w:r>
        <w:rPr>
          <w:sz w:val="22"/>
          <w:szCs w:val="22"/>
          <w:b w:val="1"/>
          <w:bCs w:val="1"/>
          <w:vertAlign w:val="superscript"/>
        </w:rPr>
        <w:t xml:space="preserve">10  </w:t>
      </w:r>
      <w:r>
        <w:rPr/>
        <w:t xml:space="preserve">And I took the diminutive book out of the messenger's hand, and ate it up; and it was in my mouth sweet as honey: and as soon as I had eaten it, my belly was bitter. </w:t>
      </w:r>
      <w:r>
        <w:rPr>
          <w:rStyle w:val="FootnoteReference"/>
        </w:rPr>
        <w:footnoteReference w:id="356"/>
      </w:r>
    </w:p>
    <w:p>
      <w:pPr>
        <w:pStyle w:val="BodyVerse"/>
      </w:pPr>
      <w:r>
        <w:rPr>
          <w:b w:val="1"/>
          <w:bCs w:val="1"/>
        </w:rPr>
        <w:t xml:space="preserve">[[@Bible:Re 10:11]] </w:t>
      </w:r>
      <w:r>
        <w:rPr>
          <w:sz w:val="22"/>
          <w:szCs w:val="22"/>
          <w:b w:val="1"/>
          <w:bCs w:val="1"/>
          <w:vertAlign w:val="superscript"/>
        </w:rPr>
        <w:t xml:space="preserve">11  </w:t>
      </w:r>
      <w:r>
        <w:rPr/>
        <w:t xml:space="preserve">And he said unto me, You must prophesy again before </w:t>
      </w:r>
      <w:r>
        <w:rPr>
          <w:b w:val="1"/>
          <w:bCs w:val="1"/>
        </w:rPr>
        <w:t xml:space="preserve">many peoples, and nations, and tongues, and kings</w:t>
      </w:r>
      <w:r>
        <w:rPr/>
        <w:t xml:space="preserve"> </w:t>
      </w:r>
      <w:r>
        <w:rPr>
          <w:rStyle w:val="FootnoteReference"/>
        </w:rPr>
        <w:footnoteReference w:id="357"/>
      </w:r>
      <w:r>
        <w:rPr/>
        <w:t xml:space="preserve">.</w:t>
      </w:r>
    </w:p>
    <w:p>
      <w:pPr>
        <w:jc w:val="left"/>
        <w:ind w:left="360" w:right="0" w:firstLine="0" w:hanging="0"/>
        <w:spacing w:after="60"/>
      </w:pPr>
      <w:r>
        <w:rPr>
          <w:sz w:val="18"/>
          <w:szCs w:val="18"/>
          <w:i w:val="1"/>
          <w:iCs w:val="1"/>
        </w:rPr>
        <w:t xml:space="preserve">[fn] The kings here might be from 5:9, as he might be directed to continue speaking to the church and not other people. Thus, it might include kings to make the point. However, a more inclusive understanding is welcome here, we need not limit this to just the saints.</w:t>
      </w:r>
    </w:p>
    <w:p>
      <w:pPr>
        <w:jc w:val="center"/>
        <w:spacing w:before="120" w:after="60"/>
      </w:pPr>
      <w:r>
        <w:rPr>
          <w:sz w:val="36"/>
          <w:szCs w:val="36"/>
          <w:b w:val="1"/>
          <w:bCs w:val="1"/>
        </w:rPr>
        <w:t xml:space="preserve">✶</w:t>
      </w:r>
    </w:p>
    <w:p>
      <w:pPr>
        <w:pStyle w:val="Heading2"/>
      </w:pPr>
      <w:bookmarkStart w:id="46" w:name="_Toc46"/>
      <w:r>
        <w:t>First 42 Gentile Months: Transformation from Holy City to Sodom and Desecration</w:t>
      </w:r>
      <w:bookmarkEnd w:id="46"/>
    </w:p>
    <w:p>
      <w:pPr>
        <w:pStyle w:val="SectionBody"/>
      </w:pPr>
      <w:r>
        <w:rPr>
          <w:b w:val="1"/>
          <w:bCs w:val="1"/>
        </w:rPr>
        <w:t xml:space="preserve">Parenthetical Scene 3:</w:t>
      </w:r>
      <w:r>
        <w:rPr/>
        <w:t xml:space="preserve"> In Revelation 10:11, John is told that, even though the 7th angel will mark the final days, there are still more details before time ends. He is then taken and hears about the 42 months and 1260 days. The temple and two witnesses, who appear at the start of the 1260 days. Each time we see 1260 days, it marks the start of the 7-year period. And, when we see 42 months, it is designated to the Gentiles. Here, we see that the temple is likely already built before the 7 years of great tribulation begin, because the temple is being measured.</w:t>
      </w:r>
    </w:p>
    <w:p>
      <w:pPr>
        <w:pStyle w:val="SectionBody"/>
      </w:pPr>
      <w:r>
        <w:rPr/>
        <w:t xml:space="preserve">The main point of this parenthetical scene appears to be an indication that when the two witnesses are slain, the city—once called “the holy city” (Rev. 11:2)—is described spiritually as “Sodom and Egypt” (11:8). That moral transformation corresponds naturally with the period in Revelation 13 in which the beast is worshiped and exercises authority for forty-two months (13:5, 8). The shift from holiness to open blasphemy aligns thematically with the rise of beastly dominion. Moreover, this pattern harmonizes with the prophecy of the Book of Daniel, where the sanctuary is profaned during the climactic period of oppression (Daniel 7:25; 9:27; 12:7). Daniel speaks of a “time and times and the dividing of time” (12:7), linked with the shattering of the holy people and the desecration of what is sacred. This places the two witnesses at the start of the 7-year period and makes Revelation 12-13 the broader, full 7-year timeframe for those events.</w:t>
      </w:r>
    </w:p>
    <w:p>
      <w:pPr>
        <w:pStyle w:val="SectionBody"/>
      </w:pPr>
      <w:r>
        <w:rPr>
          <w:b w:val="1"/>
          <w:bCs w:val="1"/>
        </w:rPr>
        <w:t xml:space="preserve">Important Note</w:t>
      </w:r>
      <w:r>
        <w:rPr/>
        <w:t xml:space="preserve">: The time counts should be understood as overlapping, not as 7 years total — you can read more about this in the articles on this site.</w:t>
      </w:r>
    </w:p>
    <w:p>
      <w:pPr>
        <w:spacing w:after="150"/>
      </w:pPr>
      <w:r>
        <w:rPr/>
        <w:t xml:space="preserve"/>
      </w:r>
    </w:p>
    <w:p>
      <w:pPr>
        <w:pStyle w:val="BodyVerse"/>
      </w:pPr>
      <w:r>
        <w:rPr>
          <w:b w:val="1"/>
          <w:bCs w:val="1"/>
        </w:rPr>
        <w:t xml:space="preserve">[[@Bible:Re 11:1]] </w:t>
      </w:r>
      <w:r>
        <w:rPr>
          <w:sz w:val="22"/>
          <w:szCs w:val="22"/>
          <w:b w:val="1"/>
          <w:bCs w:val="1"/>
          <w:vertAlign w:val="superscript"/>
        </w:rPr>
        <w:t xml:space="preserve">1  </w:t>
      </w:r>
      <w:r>
        <w:rPr/>
        <w:t xml:space="preserve">And there was given me a measuring rod like unto a staff: and I was told, Rise, and measure the temple of God, and the altar, and those who worship therein.</w:t>
      </w:r>
    </w:p>
    <w:p>
      <w:pPr>
        <w:jc w:val="left"/>
        <w:ind w:left="360" w:right="0" w:firstLine="0" w:hanging="0"/>
        <w:spacing w:after="60"/>
      </w:pPr>
      <w:r>
        <w:rPr>
          <w:sz w:val="18"/>
          <w:szCs w:val="18"/>
          <w:i w:val="1"/>
          <w:iCs w:val="1"/>
        </w:rPr>
        <w:t xml:space="preserve">[fn] The temple here is the one on Earth because of the language used to describe it; the temple in heaven has a totally different setting.</w:t>
      </w:r>
    </w:p>
    <w:p>
      <w:pPr>
        <w:pStyle w:val="BodyVerse"/>
      </w:pPr>
      <w:r>
        <w:rPr>
          <w:b w:val="1"/>
          <w:bCs w:val="1"/>
        </w:rPr>
        <w:t xml:space="preserve">[[@Bible:Re 11:2]] </w:t>
      </w:r>
      <w:r>
        <w:rPr>
          <w:sz w:val="22"/>
          <w:szCs w:val="22"/>
          <w:b w:val="1"/>
          <w:bCs w:val="1"/>
          <w:vertAlign w:val="superscript"/>
        </w:rPr>
        <w:t xml:space="preserve">2  </w:t>
      </w:r>
      <w:r>
        <w:rPr/>
        <w:t xml:space="preserve">But the court which is without the temple leave out, and measure it not; for it is given unto the nations: and </w:t>
      </w:r>
      <w:r>
        <w:rPr>
          <w:b w:val="1"/>
          <w:bCs w:val="1"/>
        </w:rPr>
        <w:t xml:space="preserve">the holy city</w:t>
      </w:r>
      <w:r>
        <w:rPr/>
        <w:t xml:space="preserve"> </w:t>
      </w:r>
      <w:r>
        <w:rPr>
          <w:rStyle w:val="FootnoteReference"/>
        </w:rPr>
        <w:footnoteReference w:id="358"/>
      </w:r>
      <w:r>
        <w:rPr/>
        <w:t xml:space="preserve"> </w:t>
      </w:r>
      <w:r>
        <w:rPr>
          <w:rStyle w:val="FootnoteReference"/>
        </w:rPr>
        <w:footnoteReference w:id="359"/>
      </w:r>
      <w:r>
        <w:rPr/>
        <w:t xml:space="preserve"> </w:t>
      </w:r>
      <w:r>
        <w:rPr>
          <w:rStyle w:val="FootnoteReference"/>
        </w:rPr>
        <w:footnoteReference w:id="360"/>
      </w:r>
      <w:r>
        <w:rPr/>
        <w:t xml:space="preserve"> shall they tread under foot </w:t>
      </w:r>
      <w:r>
        <w:rPr>
          <w:b w:val="1"/>
          <w:bCs w:val="1"/>
        </w:rPr>
        <w:t xml:space="preserve">forty and two months</w:t>
      </w:r>
      <w:r>
        <w:rPr/>
        <w:t xml:space="preserve"> </w:t>
      </w:r>
      <w:r>
        <w:rPr>
          <w:color w:val="4A6FA5"/>
          <w:sz w:val="18"/>
          <w:szCs w:val="18"/>
        </w:rPr>
        <w:t xml:space="preserve"> (42</w:t>
      </w:r>
      <w:r>
        <w:rPr>
          <w:rStyle w:val="FootnoteReference"/>
        </w:rPr>
        <w:footnoteReference w:id="361"/>
      </w:r>
      <w:r>
        <w:rPr>
          <w:color w:val="4A6FA5"/>
          <w:sz w:val="18"/>
          <w:szCs w:val="18"/>
        </w:rPr>
        <w:t xml:space="preserve">) </w:t>
      </w:r>
      <w:r>
        <w:rPr/>
        <w:t xml:space="preserve">.</w:t>
      </w:r>
    </w:p>
    <w:p>
      <w:pPr>
        <w:spacing w:after="150"/>
      </w:pPr>
      <w:r>
        <w:rPr/>
        <w:t xml:space="preserve"/>
      </w:r>
    </w:p>
    <w:p>
      <w:pPr>
        <w:pStyle w:val="Heading3"/>
      </w:pPr>
      <w:bookmarkStart w:id="47" w:name="_Toc47"/>
      <w:r>
        <w:t>1260 Days Start: The Two Witnesses</w:t>
      </w:r>
      <w:bookmarkEnd w:id="47"/>
    </w:p>
    <w:p>
      <w:pPr>
        <w:pStyle w:val="SectionBody"/>
      </w:pPr>
      <w:r>
        <w:rPr>
          <w:b w:val="1"/>
          <w:bCs w:val="1"/>
        </w:rPr>
        <w:t xml:space="preserve">Important Note:</w:t>
      </w:r>
      <w:r>
        <w:rPr/>
        <w:t xml:space="preserve"> The two witnesses are saints whose overpowering words of prophecy burn up anyone who tries to harm them (Jeremiah 5:14).</w:t>
      </w:r>
    </w:p>
    <w:p>
      <w:pPr>
        <w:spacing w:after="150"/>
      </w:pPr>
      <w:r>
        <w:rPr/>
        <w:t xml:space="preserve"/>
      </w:r>
    </w:p>
    <w:p>
      <w:pPr>
        <w:pStyle w:val="BodyVerse"/>
      </w:pPr>
      <w:r>
        <w:rPr>
          <w:b w:val="1"/>
          <w:bCs w:val="1"/>
        </w:rPr>
        <w:t xml:space="preserve">[[@Bible:Re 11:3]] </w:t>
      </w:r>
      <w:r>
        <w:rPr>
          <w:sz w:val="22"/>
          <w:szCs w:val="22"/>
          <w:b w:val="1"/>
          <w:bCs w:val="1"/>
          <w:vertAlign w:val="superscript"/>
        </w:rPr>
        <w:t xml:space="preserve">3  </w:t>
      </w:r>
      <w:r>
        <w:rPr/>
        <w:t xml:space="preserve">And </w:t>
      </w:r>
      <w:r>
        <w:rPr>
          <w:b w:val="1"/>
          <w:bCs w:val="1"/>
        </w:rPr>
        <w:t xml:space="preserve">I will give to my</w:t>
      </w:r>
      <w:r>
        <w:rPr/>
        <w:t xml:space="preserve"> </w:t>
      </w:r>
      <w:r>
        <w:rPr>
          <w:rStyle w:val="FootnoteReference"/>
        </w:rPr>
        <w:footnoteReference w:id="362"/>
      </w:r>
      <w:r>
        <w:rPr/>
        <w:t xml:space="preserve"> </w:t>
      </w:r>
      <w:r>
        <w:rPr>
          <w:b w:val="1"/>
          <w:bCs w:val="1"/>
        </w:rPr>
        <w:t xml:space="preserve">two witnesses</w:t>
      </w:r>
      <w:r>
        <w:rPr/>
        <w:t xml:space="preserve"> </w:t>
      </w:r>
      <w:r>
        <w:rPr>
          <w:rStyle w:val="FootnoteReference"/>
        </w:rPr>
        <w:footnoteReference w:id="363"/>
      </w:r>
      <w:r>
        <w:rPr/>
        <w:t xml:space="preserve">, and they shall prophesy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364"/>
      </w:r>
      <w:r>
        <w:rPr>
          <w:color w:val="4A6FA5"/>
          <w:sz w:val="18"/>
          <w:szCs w:val="18"/>
        </w:rPr>
        <w:t xml:space="preserve">) </w:t>
      </w:r>
      <w:r>
        <w:rPr/>
        <w:t xml:space="preserve">, clothed in sackcloth.</w:t>
      </w:r>
    </w:p>
    <w:p>
      <w:pPr>
        <w:jc w:val="left"/>
        <w:ind w:left="360" w:right="0" w:firstLine="0" w:hanging="0"/>
        <w:spacing w:after="60"/>
      </w:pPr>
      <w:r>
        <w:rPr>
          <w:sz w:val="18"/>
          <w:szCs w:val="18"/>
          <w:i w:val="1"/>
          <w:iCs w:val="1"/>
        </w:rPr>
        <w:t xml:space="preserve">[fn] When we read “I will give unto my two witnesses,” the expression can feel incomplete in English, since no direct object is stated. While English translations often supply “power” or “authority,” no such word appears in the Greek. Rather, the construction leaves the gift undefined and immediately connects it to the result, “and they will prophesy.” This suggests that what is given pertains to their prophetic commission, without specifying its exact nature. The idea that the witnesses themselves are the gift is not really grammatically possible and contextually unlikely, since they are presented as the recipients of the giving, not its content.</w:t>
      </w:r>
    </w:p>
    <w:p>
      <w:pPr>
        <w:pStyle w:val="BodyVerse"/>
      </w:pPr>
      <w:r>
        <w:rPr>
          <w:b w:val="1"/>
          <w:bCs w:val="1"/>
        </w:rPr>
        <w:t xml:space="preserve">[[@Bible:Re 11:4]] </w:t>
      </w:r>
      <w:r>
        <w:rPr>
          <w:sz w:val="22"/>
          <w:szCs w:val="22"/>
          <w:b w:val="1"/>
          <w:bCs w:val="1"/>
          <w:vertAlign w:val="superscript"/>
        </w:rPr>
        <w:t xml:space="preserve">4  </w:t>
      </w:r>
      <w:r>
        <w:rPr/>
        <w:t xml:space="preserve">These are the two olive trees, and </w:t>
      </w:r>
      <w:r>
        <w:rPr>
          <w:b w:val="1"/>
          <w:bCs w:val="1"/>
        </w:rPr>
        <w:t xml:space="preserve">the two lampstands standing before the Lord of the earth.</w:t>
      </w:r>
      <w:r>
        <w:rPr/>
        <w:t xml:space="preserve"> </w:t>
      </w:r>
      <w:r>
        <w:rPr>
          <w:rStyle w:val="FootnoteReference"/>
        </w:rPr>
        <w:footnoteReference w:id="365"/>
      </w:r>
    </w:p>
    <w:p>
      <w:pPr>
        <w:pStyle w:val="BodyVerse"/>
      </w:pPr>
      <w:r>
        <w:rPr>
          <w:b w:val="1"/>
          <w:bCs w:val="1"/>
        </w:rPr>
        <w:t xml:space="preserve">[[@Bible:Re 11:5]] </w:t>
      </w:r>
      <w:r>
        <w:rPr>
          <w:sz w:val="22"/>
          <w:szCs w:val="22"/>
          <w:b w:val="1"/>
          <w:bCs w:val="1"/>
          <w:vertAlign w:val="superscript"/>
        </w:rPr>
        <w:t xml:space="preserve">5  </w:t>
      </w:r>
      <w:r>
        <w:rPr/>
        <w:t xml:space="preserve">And if any man will hurt them, </w:t>
      </w:r>
      <w:r>
        <w:rPr>
          <w:b w:val="1"/>
          <w:bCs w:val="1"/>
        </w:rPr>
        <w:t xml:space="preserve">fire proceeds out of their mouth, and devours their enemies: and if any man will hurt them, he must in this manner be killed.</w:t>
      </w:r>
      <w:r>
        <w:rPr/>
        <w:t xml:space="preserve"> </w:t>
      </w:r>
      <w:r>
        <w:rPr>
          <w:rStyle w:val="FootnoteReference"/>
        </w:rPr>
        <w:footnoteReference w:id="366"/>
      </w:r>
    </w:p>
    <w:p>
      <w:pPr>
        <w:pStyle w:val="BodyVerse"/>
      </w:pPr>
      <w:r>
        <w:rPr>
          <w:b w:val="1"/>
          <w:bCs w:val="1"/>
        </w:rPr>
        <w:t xml:space="preserve">[[@Bible:Re 11:6]] </w:t>
      </w:r>
      <w:r>
        <w:rPr>
          <w:sz w:val="22"/>
          <w:szCs w:val="22"/>
          <w:b w:val="1"/>
          <w:bCs w:val="1"/>
          <w:vertAlign w:val="superscript"/>
        </w:rPr>
        <w:t xml:space="preserve">6  </w:t>
      </w:r>
      <w:r>
        <w:rPr/>
        <w:t xml:space="preserve">These have power to shut heaven, that it rain not in the days of their prophecy: and have power over waters to turn them to blood, and to smite the earth with all plagues, as often as they will.</w:t>
      </w:r>
    </w:p>
    <w:p>
      <w:pPr>
        <w:spacing w:after="150"/>
      </w:pPr>
      <w:r>
        <w:rPr/>
        <w:t xml:space="preserve"/>
      </w:r>
    </w:p>
    <w:p>
      <w:pPr>
        <w:pStyle w:val="Heading3"/>
      </w:pPr>
      <w:bookmarkStart w:id="48" w:name="_Toc48"/>
      <w:r>
        <w:t>Satan Wages War After Being Removed From Heaven</w:t>
      </w:r>
      <w:bookmarkEnd w:id="48"/>
    </w:p>
    <w:p>
      <w:pPr>
        <w:pStyle w:val="SectionBody"/>
      </w:pPr>
      <w:r>
        <w:rPr>
          <w:b w:val="1"/>
          <w:bCs w:val="1"/>
        </w:rPr>
        <w:t xml:space="preserve">Important Note:</w:t>
      </w:r>
      <w:r>
        <w:rPr/>
        <w:t xml:space="preserve"> "the beast that ascendeth out of the bottomless pit" is Satan's title in Revelation 20. He is the 8th head in Revelation 17. There are a few wars in Revelation; this is the middle one against the saints. The beast here is the red dragon.</w:t>
      </w:r>
    </w:p>
    <w:p>
      <w:pPr>
        <w:spacing w:after="150"/>
      </w:pPr>
      <w:r>
        <w:rPr/>
        <w:t xml:space="preserve"/>
      </w:r>
    </w:p>
    <w:p>
      <w:pPr>
        <w:pStyle w:val="BodyVerse"/>
      </w:pPr>
      <w:r>
        <w:rPr>
          <w:b w:val="1"/>
          <w:bCs w:val="1"/>
        </w:rPr>
        <w:t xml:space="preserve">[[@Bible:Re 11:7]] </w:t>
      </w:r>
      <w:r>
        <w:rPr>
          <w:sz w:val="22"/>
          <w:szCs w:val="22"/>
          <w:b w:val="1"/>
          <w:bCs w:val="1"/>
          <w:vertAlign w:val="superscript"/>
        </w:rPr>
        <w:t xml:space="preserve">7  </w:t>
      </w:r>
      <w:r>
        <w:rPr/>
        <w:t xml:space="preserve">And when they shall have finished their testimony, the </w:t>
      </w:r>
      <w:r>
        <w:rPr>
          <w:b w:val="1"/>
          <w:bCs w:val="1"/>
        </w:rPr>
        <w:t xml:space="preserve">beast that ascends out of the bottomless pit</w:t>
      </w:r>
      <w:r>
        <w:rPr/>
        <w:t xml:space="preserve"> </w:t>
      </w:r>
      <w:r>
        <w:rPr>
          <w:color w:val="4A6FA5"/>
          <w:sz w:val="18"/>
          <w:szCs w:val="18"/>
        </w:rPr>
        <w:t xml:space="preserve"> (d</w:t>
      </w:r>
      <w:r>
        <w:rPr>
          <w:rStyle w:val="FootnoteReference"/>
        </w:rPr>
        <w:footnoteReference w:id="367"/>
      </w:r>
      <w:r>
        <w:rPr>
          <w:color w:val="4A6FA5"/>
          <w:sz w:val="18"/>
          <w:szCs w:val="18"/>
        </w:rPr>
        <w:t xml:space="preserve">) </w:t>
      </w:r>
      <w:r>
        <w:rPr/>
        <w:t xml:space="preserve"> </w:t>
      </w:r>
      <w:r>
        <w:rPr>
          <w:rStyle w:val="FootnoteReference"/>
        </w:rPr>
        <w:footnoteReference w:id="368"/>
      </w:r>
      <w:r>
        <w:rPr/>
        <w:t xml:space="preserve"> </w:t>
      </w:r>
      <w:r>
        <w:rPr>
          <w:rStyle w:val="FootnoteReference"/>
        </w:rPr>
        <w:footnoteReference w:id="369"/>
      </w:r>
      <w:r>
        <w:rPr/>
        <w:t xml:space="preserve"> shall </w:t>
      </w:r>
      <w:r>
        <w:rPr>
          <w:b w:val="1"/>
          <w:bCs w:val="1"/>
        </w:rPr>
        <w:t xml:space="preserve">make war</w:t>
      </w:r>
      <w:r>
        <w:rPr/>
        <w:t xml:space="preserve"> </w:t>
      </w:r>
      <w:r>
        <w:rPr>
          <w:rStyle w:val="FootnoteReference"/>
        </w:rPr>
        <w:footnoteReference w:id="370"/>
      </w:r>
      <w:r>
        <w:rPr/>
        <w:t xml:space="preserve"> against them, and shall overcome them, and kill them.</w:t>
      </w:r>
    </w:p>
    <w:p>
      <w:pPr>
        <w:pStyle w:val="BodyVerse"/>
      </w:pPr>
      <w:r>
        <w:rPr>
          <w:b w:val="1"/>
          <w:bCs w:val="1"/>
        </w:rPr>
        <w:t xml:space="preserve">[[@Bible:Re 11:8]] </w:t>
      </w:r>
      <w:r>
        <w:rPr>
          <w:sz w:val="22"/>
          <w:szCs w:val="22"/>
          <w:b w:val="1"/>
          <w:bCs w:val="1"/>
          <w:vertAlign w:val="superscript"/>
        </w:rPr>
        <w:t xml:space="preserve">8  </w:t>
      </w:r>
      <w:r>
        <w:rPr/>
        <w:t xml:space="preserve">And their dead bodies shall lie in the street of the </w:t>
      </w:r>
      <w:r>
        <w:rPr>
          <w:b w:val="1"/>
          <w:bCs w:val="1"/>
        </w:rPr>
        <w:t xml:space="preserve">great city</w:t>
      </w:r>
      <w:r>
        <w:rPr/>
        <w:t xml:space="preserve"> </w:t>
      </w:r>
      <w:r>
        <w:rPr>
          <w:rStyle w:val="FootnoteReference"/>
        </w:rPr>
        <w:footnoteReference w:id="371"/>
      </w:r>
      <w:r>
        <w:rPr/>
        <w:t xml:space="preserve"> </w:t>
      </w:r>
      <w:r>
        <w:rPr>
          <w:rStyle w:val="FootnoteReference"/>
        </w:rPr>
        <w:footnoteReference w:id="372"/>
      </w:r>
      <w:r>
        <w:rPr/>
        <w:t xml:space="preserve">, which spiritually is called </w:t>
      </w:r>
      <w:r>
        <w:rPr>
          <w:b w:val="1"/>
          <w:bCs w:val="1"/>
        </w:rPr>
        <w:t xml:space="preserve">Sodom and Egypt</w:t>
      </w:r>
      <w:r>
        <w:rPr/>
        <w:t xml:space="preserve"> </w:t>
      </w:r>
      <w:r>
        <w:rPr>
          <w:rStyle w:val="FootnoteReference"/>
        </w:rPr>
        <w:footnoteReference w:id="373"/>
      </w:r>
      <w:r>
        <w:rPr/>
        <w:t xml:space="preserve"> </w:t>
      </w:r>
      <w:r>
        <w:rPr>
          <w:rStyle w:val="FootnoteReference"/>
        </w:rPr>
        <w:footnoteReference w:id="374"/>
      </w:r>
      <w:r>
        <w:rPr/>
        <w:t xml:space="preserve">, where also our Lord was crucified </w:t>
      </w:r>
      <w:r>
        <w:rPr>
          <w:rStyle w:val="FootnoteReference"/>
        </w:rPr>
        <w:footnoteReference w:id="375"/>
      </w:r>
      <w:r>
        <w:rPr/>
        <w:t xml:space="preserve">.</w:t>
      </w:r>
    </w:p>
    <w:p>
      <w:pPr>
        <w:jc w:val="left"/>
        <w:ind w:left="360" w:right="0" w:firstLine="0" w:hanging="0"/>
        <w:spacing w:after="60"/>
      </w:pPr>
      <w:r>
        <w:rPr>
          <w:sz w:val="18"/>
          <w:szCs w:val="18"/>
          <w:i w:val="1"/>
          <w:iCs w:val="1"/>
        </w:rPr>
        <w:t xml:space="preserve">[fn] In Isaiah 13:19-20, God compares the destruction Babylon to the destruction Sodom and Gomorrah, this may create a link between Jerusalem, Babylon, and Sodom as both Jerusalem and Babylon are compared to Sodom in scripture.</w:t>
      </w:r>
    </w:p>
    <w:p>
      <w:pPr>
        <w:pStyle w:val="BodyVerse"/>
      </w:pPr>
      <w:r>
        <w:rPr>
          <w:b w:val="1"/>
          <w:bCs w:val="1"/>
        </w:rPr>
        <w:t xml:space="preserve">[[@Bible:Re 11:9]] </w:t>
      </w:r>
      <w:r>
        <w:rPr>
          <w:sz w:val="22"/>
          <w:szCs w:val="22"/>
          <w:b w:val="1"/>
          <w:bCs w:val="1"/>
          <w:vertAlign w:val="superscript"/>
        </w:rPr>
        <w:t xml:space="preserve">9  </w:t>
      </w:r>
      <w:r>
        <w:rPr/>
        <w:t xml:space="preserve">And they of the </w:t>
      </w:r>
      <w:r>
        <w:rPr>
          <w:b w:val="1"/>
          <w:bCs w:val="1"/>
        </w:rPr>
        <w:t xml:space="preserve">people and kindreds and tongues and nations</w:t>
      </w:r>
      <w:r>
        <w:rPr/>
        <w:t xml:space="preserve"> </w:t>
      </w:r>
      <w:r>
        <w:rPr>
          <w:rStyle w:val="FootnoteReference"/>
        </w:rPr>
        <w:footnoteReference w:id="376"/>
      </w:r>
      <w:r>
        <w:rPr/>
        <w:t xml:space="preserve"> shall see their dead bodies </w:t>
      </w:r>
      <w:r>
        <w:rPr>
          <w:b w:val="1"/>
          <w:bCs w:val="1"/>
        </w:rPr>
        <w:t xml:space="preserve">three days and a half</w:t>
      </w:r>
      <w:r>
        <w:rPr/>
        <w:t xml:space="preserve"> </w:t>
      </w:r>
      <w:r>
        <w:rPr>
          <w:rStyle w:val="FootnoteReference"/>
        </w:rPr>
        <w:footnoteReference w:id="377"/>
      </w:r>
      <w:r>
        <w:rPr/>
        <w:t xml:space="preserve">, and shall not suffer their dead bodies to be put in a tomb.</w:t>
      </w:r>
    </w:p>
    <w:p>
      <w:pPr>
        <w:pStyle w:val="BodyVerse"/>
      </w:pPr>
      <w:r>
        <w:rPr>
          <w:b w:val="1"/>
          <w:bCs w:val="1"/>
        </w:rPr>
        <w:t xml:space="preserve">[[@Bible:Re 11:10]] </w:t>
      </w:r>
      <w:r>
        <w:rPr>
          <w:sz w:val="22"/>
          <w:szCs w:val="22"/>
          <w:b w:val="1"/>
          <w:bCs w:val="1"/>
          <w:vertAlign w:val="superscript"/>
        </w:rPr>
        <w:t xml:space="preserve">10  </w:t>
      </w:r>
      <w:r>
        <w:rPr/>
        <w:t xml:space="preserve">And they who dwell upon the earth shall </w:t>
      </w:r>
      <w:r>
        <w:rPr>
          <w:b w:val="1"/>
          <w:bCs w:val="1"/>
        </w:rPr>
        <w:t xml:space="preserve">rejoice</w:t>
      </w:r>
      <w:r>
        <w:rPr/>
        <w:t xml:space="preserve"> </w:t>
      </w:r>
      <w:r>
        <w:rPr>
          <w:rStyle w:val="FootnoteReference"/>
        </w:rPr>
        <w:footnoteReference w:id="378"/>
      </w:r>
      <w:r>
        <w:rPr/>
        <w:t xml:space="preserve"> over them, and make merry, and shall send gifts one to another; because these two prophets tormented those who dwelt on the earth.</w:t>
      </w:r>
    </w:p>
    <w:p>
      <w:pPr>
        <w:spacing w:after="150"/>
      </w:pPr>
      <w:r>
        <w:rPr/>
        <w:t xml:space="preserve"/>
      </w:r>
    </w:p>
    <w:p>
      <w:pPr>
        <w:pStyle w:val="Heading3"/>
      </w:pPr>
      <w:bookmarkStart w:id="49" w:name="_Toc49"/>
      <w:r>
        <w:t>The Two Witnesses Ascend</w:t>
      </w:r>
      <w:bookmarkEnd w:id="49"/>
    </w:p>
    <w:p>
      <w:pPr>
        <w:pStyle w:val="BodyVerse"/>
      </w:pPr>
      <w:r>
        <w:rPr>
          <w:b w:val="1"/>
          <w:bCs w:val="1"/>
        </w:rPr>
        <w:t xml:space="preserve">[[@Bible:Re 11:11]] </w:t>
      </w:r>
      <w:r>
        <w:rPr>
          <w:sz w:val="22"/>
          <w:szCs w:val="22"/>
          <w:b w:val="1"/>
          <w:bCs w:val="1"/>
          <w:vertAlign w:val="superscript"/>
        </w:rPr>
        <w:t xml:space="preserve">11  </w:t>
      </w:r>
      <w:r>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2"/>
          <w:szCs w:val="22"/>
          <w:b w:val="1"/>
          <w:bCs w:val="1"/>
          <w:vertAlign w:val="superscript"/>
        </w:rPr>
        <w:t xml:space="preserve">12  </w:t>
      </w:r>
      <w:r>
        <w:rPr/>
        <w:t xml:space="preserve">And they heard a great </w:t>
      </w:r>
      <w:r>
        <w:rPr>
          <w:b w:val="1"/>
          <w:bCs w:val="1"/>
        </w:rPr>
        <w:t xml:space="preserve">voice from heaven</w:t>
      </w:r>
      <w:r>
        <w:rPr/>
        <w:t xml:space="preserve"> </w:t>
      </w:r>
      <w:r>
        <w:rPr>
          <w:rStyle w:val="FootnoteReference"/>
        </w:rPr>
        <w:footnoteReference w:id="379"/>
      </w:r>
      <w:r>
        <w:rPr/>
        <w:t xml:space="preserve"> saying unto them, </w:t>
      </w:r>
      <w:r>
        <w:rPr>
          <w:b w:val="1"/>
          <w:bCs w:val="1"/>
        </w:rPr>
        <w:t xml:space="preserve">Ascend here</w:t>
      </w:r>
      <w:r>
        <w:rPr/>
        <w:t xml:space="preserve"> </w:t>
      </w:r>
      <w:r>
        <w:rPr>
          <w:rStyle w:val="FootnoteReference"/>
        </w:rPr>
        <w:footnoteReference w:id="380"/>
      </w:r>
      <w:r>
        <w:rPr/>
        <w:t xml:space="preserve">. And they ascended up to heaven in a cloud; and their enemies beheld them.</w:t>
      </w:r>
    </w:p>
    <w:p>
      <w:pPr>
        <w:jc w:val="left"/>
        <w:ind w:left="360" w:right="0" w:firstLine="0" w:hanging="0"/>
        <w:spacing w:after="60"/>
      </w:pPr>
      <w:r>
        <w:rPr>
          <w:sz w:val="18"/>
          <w:szCs w:val="18"/>
          <w:i w:val="1"/>
          <w:iCs w:val="1"/>
        </w:rPr>
        <w:t xml:space="preserve">[fn] The ascension of the two witnesses is not connected to a rapture of the church on its own; this ascension is a rapture of the two witnesses alone base on the text.</w:t>
      </w:r>
    </w:p>
    <w:p>
      <w:pPr>
        <w:spacing w:after="150"/>
      </w:pPr>
      <w:r>
        <w:rPr/>
        <w:t xml:space="preserve"/>
      </w:r>
    </w:p>
    <w:p>
      <w:pPr>
        <w:pStyle w:val="Heading3"/>
      </w:pPr>
      <w:bookmarkStart w:id="50" w:name="_Toc50"/>
      <w:r>
        <w:t>Surprising Glory Given to God</w:t>
      </w:r>
      <w:bookmarkEnd w:id="50"/>
    </w:p>
    <w:p>
      <w:pPr>
        <w:pStyle w:val="SectionBody"/>
      </w:pPr>
      <w:r>
        <w:rPr>
          <w:b w:val="1"/>
          <w:bCs w:val="1"/>
        </w:rPr>
        <w:t xml:space="preserve">Important Note:</w:t>
      </w:r>
      <w:r>
        <w:rPr/>
        <w:t xml:space="preserve"> No other group in Revelation gives glory to God except those who honor God, such as the saints, the 24 elders, the 4 beasts, the angels, and the 144,000. So this "remnant" or "rest" is very interesting and elicits the question, who are they? Why? Because they give God glory. Those who reject Jesus seem to always be non-repentant when plagues strike; they give gifts when the two witnesses die. If this is a general group and not the 144,000, it is striking and likely points to that group repenting. Again, a shocking moment in Revelation, and likely pointing out the magnitude of the impact of this moment.</w:t>
      </w:r>
    </w:p>
    <w:p>
      <w:pPr>
        <w:spacing w:after="150"/>
      </w:pPr>
      <w:r>
        <w:rPr/>
        <w:t xml:space="preserve"/>
      </w:r>
    </w:p>
    <w:p>
      <w:pPr>
        <w:pStyle w:val="BodyVerse"/>
      </w:pPr>
      <w:r>
        <w:rPr>
          <w:b w:val="1"/>
          <w:bCs w:val="1"/>
        </w:rPr>
        <w:t xml:space="preserve">[[@Bible:Re 11:13]] </w:t>
      </w:r>
      <w:r>
        <w:rPr>
          <w:sz w:val="22"/>
          <w:szCs w:val="22"/>
          <w:b w:val="1"/>
          <w:bCs w:val="1"/>
          <w:vertAlign w:val="superscript"/>
        </w:rPr>
        <w:t xml:space="preserve">13  </w:t>
      </w:r>
      <w:r>
        <w:rPr/>
        <w:t xml:space="preserve">And the same hour was there a great earthquake, and the tenth part of the city fell, and in the earthquake were slain of men seven thousand: and the rest were affrighted, and gave glory to the God of heaven.</w:t>
      </w:r>
    </w:p>
    <w:p>
      <w:pPr>
        <w:jc w:val="center"/>
        <w:spacing w:before="120" w:after="60"/>
      </w:pPr>
      <w:r>
        <w:rPr>
          <w:sz w:val="36"/>
          <w:szCs w:val="36"/>
          <w:b w:val="1"/>
          <w:bCs w:val="1"/>
        </w:rPr>
        <w:t xml:space="preserve">✶</w:t>
      </w:r>
    </w:p>
    <w:p>
      <w:pPr>
        <w:pStyle w:val="Heading2"/>
      </w:pPr>
      <w:bookmarkStart w:id="51" w:name="_Toc51"/>
      <w:r>
        <w:t>The Seventh Trumpet: Voices, Thunders, Lightnings, and Earthquake</w:t>
      </w:r>
      <w:bookmarkEnd w:id="51"/>
    </w:p>
    <w:p>
      <w:pPr>
        <w:pStyle w:val="SectionBody"/>
      </w:pPr>
      <w:r>
        <w:rPr>
          <w:b w:val="1"/>
          <w:bCs w:val="1"/>
        </w:rPr>
        <w:t xml:space="preserve">Linear Scene 1.4:</w:t>
      </w:r>
      <w:r>
        <w:rPr/>
        <w:t xml:space="preserve"> Picking back up at Trumpet 7 from Trumpet 6. This is also the 7th angel's voice in Revelation 10. We are now in the final days, at the end of "time" (KJV) or "season" (ESV). Also, when a woe ends, it is not saying that the immediately prior section of text was the woe plague; it is just making sure it is clear that we know the next plague is starting. Thus, "Temple Built and First 42 Gentile Months" are not a part of the second woe; only the 200,000,000 army. This moment will pick back up again in Revelation 15, when there, "the temple of the tabernacle of the testimony in heaven was opened".</w:t>
      </w:r>
    </w:p>
    <w:p>
      <w:pPr>
        <w:pStyle w:val="SectionBody"/>
      </w:pPr>
      <w:r>
        <w:rPr/>
        <w:t xml:space="preserve">Revelation 11 cannot flow directly into chapters 12–13, because in 11:15 the kingdoms of this world are declared to have become Christ's, yet in chapter 13 the sea beast is still permitted to conquer the saints. These two realities cannot occupy the same narrative moment. Moreover, "the kingdoms of the world" in chapter 11 does not correspond to "the kingdom of our God" in chapter 12, which refers to heavenly authority during the war in heaven, not earthly rule. While themes overlap, the details mark a clear transition in both time and perspective. Chapter 11 resolves forward into chapter 15, not into chapters 12–14, which function parenthetically and shift the reader backward in scope and context.</w:t>
      </w:r>
    </w:p>
    <w:p>
      <w:pPr>
        <w:pStyle w:val="SectionBody"/>
      </w:pPr>
      <w:r>
        <w:rPr/>
        <w:t xml:space="preserve">Finally, each time a plague is introduced in Revelation, its description remains brief, direct, and thematically contained. This pattern holds true for the seals, the trumpets, and the vials alike. When the narrative expands beyond those defined parameters, it signals that the plague itself has concluded and the text has transitioned to new material. For this reason, the material in chapter 10 and the account of the two witnesses cannot properly be considered part of the second. The second woe is confined to the judgment of the two hundred million horsemen described in Revelation 9; the extended narrative that follows serves a different structural purpose within the book.</w:t>
      </w:r>
    </w:p>
    <w:p>
      <w:pPr>
        <w:spacing w:after="150"/>
      </w:pPr>
      <w:r>
        <w:rPr/>
        <w:t xml:space="preserve"/>
      </w:r>
    </w:p>
    <w:p>
      <w:pPr>
        <w:pStyle w:val="BodyVerse"/>
      </w:pPr>
      <w:r>
        <w:rPr>
          <w:b w:val="1"/>
          <w:bCs w:val="1"/>
        </w:rPr>
        <w:t xml:space="preserve">[[@Bible:Re 11:14]] </w:t>
      </w:r>
      <w:r>
        <w:rPr>
          <w:sz w:val="22"/>
          <w:szCs w:val="22"/>
          <w:b w:val="1"/>
          <w:bCs w:val="1"/>
          <w:vertAlign w:val="superscript"/>
        </w:rPr>
        <w:t xml:space="preserve">14  </w:t>
      </w:r>
      <w:r>
        <w:rPr/>
        <w:t xml:space="preserve">The second woe is past </w:t>
      </w:r>
      <w:r>
        <w:rPr>
          <w:rStyle w:val="FootnoteReference"/>
        </w:rPr>
        <w:footnoteReference w:id="381"/>
      </w:r>
      <w:r>
        <w:rPr/>
        <w:t xml:space="preserve">; and, behold, the third woe comes </w:t>
      </w:r>
      <w:r>
        <w:rPr>
          <w:b w:val="1"/>
          <w:bCs w:val="1"/>
        </w:rPr>
        <w:t xml:space="preserve">quickly</w:t>
      </w:r>
      <w:r>
        <w:rPr/>
        <w:t xml:space="preserve"> </w:t>
      </w:r>
      <w:r>
        <w:rPr>
          <w:rStyle w:val="FootnoteReference"/>
        </w:rPr>
        <w:footnoteReference w:id="382"/>
      </w:r>
      <w:r>
        <w:rPr/>
        <w:t xml:space="preserve">.</w:t>
      </w:r>
    </w:p>
    <w:p>
      <w:pPr>
        <w:pStyle w:val="BodyVerse"/>
      </w:pPr>
      <w:r>
        <w:rPr>
          <w:b w:val="1"/>
          <w:bCs w:val="1"/>
        </w:rPr>
        <w:t xml:space="preserve">[[@Bible:Re 11:15]] </w:t>
      </w:r>
      <w:r>
        <w:rPr>
          <w:sz w:val="22"/>
          <w:szCs w:val="22"/>
          <w:b w:val="1"/>
          <w:bCs w:val="1"/>
          <w:vertAlign w:val="superscript"/>
        </w:rPr>
        <w:t xml:space="preserve">15  </w:t>
      </w:r>
      <w:r>
        <w:rPr/>
        <w:t xml:space="preserve">And the </w:t>
      </w:r>
      <w:r>
        <w:rPr>
          <w:b w:val="1"/>
          <w:bCs w:val="1"/>
        </w:rPr>
        <w:t xml:space="preserve">seventh messenger sounded</w:t>
      </w:r>
      <w:r>
        <w:rPr/>
        <w:t xml:space="preserve"> </w:t>
      </w:r>
      <w:r>
        <w:rPr>
          <w:color w:val="4A6FA5"/>
          <w:sz w:val="18"/>
          <w:szCs w:val="18"/>
        </w:rPr>
        <w:t xml:space="preserve"> (n</w:t>
      </w:r>
      <w:r>
        <w:rPr>
          <w:rStyle w:val="FootnoteReference"/>
        </w:rPr>
        <w:footnoteReference w:id="383"/>
      </w:r>
      <w:r>
        <w:rPr>
          <w:color w:val="4A6FA5"/>
          <w:sz w:val="18"/>
          <w:szCs w:val="18"/>
        </w:rPr>
        <w:t xml:space="preserve">) </w:t>
      </w:r>
      <w:r>
        <w:rPr/>
        <w:t xml:space="preserve"> </w:t>
      </w:r>
      <w:r>
        <w:rPr>
          <w:rStyle w:val="FootnoteReference"/>
        </w:rPr>
        <w:footnoteReference w:id="384"/>
      </w:r>
      <w:r>
        <w:rPr/>
        <w:t xml:space="preserve">; and there were </w:t>
      </w:r>
      <w:r>
        <w:rPr>
          <w:b w:val="1"/>
          <w:bCs w:val="1"/>
        </w:rPr>
        <w:t xml:space="preserve">great voices in heaven</w:t>
      </w:r>
      <w:r>
        <w:rPr/>
        <w:t xml:space="preserve"> </w:t>
      </w:r>
      <w:r>
        <w:rPr>
          <w:color w:val="4A6FA5"/>
          <w:sz w:val="18"/>
          <w:szCs w:val="18"/>
        </w:rPr>
        <w:t xml:space="preserve"> (jt</w:t>
      </w:r>
      <w:r>
        <w:rPr>
          <w:rStyle w:val="FootnoteReference"/>
        </w:rPr>
        <w:footnoteReference w:id="385"/>
      </w:r>
      <w:r>
        <w:rPr>
          <w:color w:val="4A6FA5"/>
          <w:sz w:val="18"/>
          <w:szCs w:val="18"/>
        </w:rPr>
        <w:t xml:space="preserve">) </w:t>
      </w:r>
      <w:r>
        <w:rPr/>
        <w:t xml:space="preserve"> </w:t>
      </w:r>
      <w:r>
        <w:rPr>
          <w:rStyle w:val="FootnoteReference"/>
        </w:rPr>
        <w:footnoteReference w:id="386"/>
      </w:r>
      <w:r>
        <w:rPr/>
        <w:t xml:space="preserve">, saying, </w:t>
      </w:r>
      <w:r>
        <w:rPr>
          <w:b w:val="1"/>
          <w:bCs w:val="1"/>
        </w:rPr>
        <w:t xml:space="preserve">The kingdoms of this world are become the kingdoms of our Lord, and of his Christ</w:t>
      </w:r>
      <w:r>
        <w:rPr/>
        <w:t xml:space="preserve"> </w:t>
      </w:r>
      <w:r>
        <w:rPr>
          <w:rStyle w:val="FootnoteReference"/>
        </w:rPr>
        <w:footnoteReference w:id="387"/>
      </w:r>
      <w:r>
        <w:rPr/>
        <w:t xml:space="preserve">; and he shall reign forever and ever.</w:t>
      </w:r>
    </w:p>
    <w:p>
      <w:pPr>
        <w:jc w:val="left"/>
        <w:ind w:left="360" w:right="0" w:firstLine="0" w:hanging="0"/>
        <w:spacing w:after="60"/>
      </w:pPr>
      <w:r>
        <w:rPr>
          <w:sz w:val="18"/>
          <w:szCs w:val="18"/>
          <w:i w:val="1"/>
          <w:iCs w:val="1"/>
        </w:rPr>
        <w:t xml:space="preserve">[fn] Not speaking of heaven, the kingdom of God; this is not a link to 12:10. This is about the earth.</w:t>
      </w:r>
    </w:p>
    <w:p>
      <w:pPr>
        <w:jc w:val="left"/>
        <w:ind w:left="360" w:right="0" w:firstLine="0" w:hanging="0"/>
        <w:spacing w:after="60"/>
      </w:pPr>
      <w:r>
        <w:rPr>
          <w:sz w:val="18"/>
          <w:szCs w:val="18"/>
          <w:i w:val="1"/>
          <w:iCs w:val="1"/>
        </w:rPr>
        <w:t xml:space="preserve">[fn] Season of waiting for judgement ends.</w:t>
      </w:r>
    </w:p>
    <w:p>
      <w:pPr>
        <w:pStyle w:val="BodyVerse"/>
      </w:pPr>
      <w:r>
        <w:rPr>
          <w:b w:val="1"/>
          <w:bCs w:val="1"/>
        </w:rPr>
        <w:t xml:space="preserve">[[@Bible:Re 11:16]] </w:t>
      </w:r>
      <w:r>
        <w:rPr>
          <w:sz w:val="22"/>
          <w:szCs w:val="22"/>
          <w:b w:val="1"/>
          <w:bCs w:val="1"/>
          <w:vertAlign w:val="superscript"/>
        </w:rPr>
        <w:t xml:space="preserve">16  </w:t>
      </w:r>
      <w:r>
        <w:rPr/>
        <w:t xml:space="preserve">And the four and twenty </w:t>
      </w:r>
      <w:r>
        <w:rPr>
          <w:b w:val="1"/>
          <w:bCs w:val="1"/>
        </w:rPr>
        <w:t xml:space="preserve">elders</w:t>
      </w:r>
      <w:r>
        <w:rPr/>
        <w:t xml:space="preserve"> </w:t>
      </w:r>
      <w:r>
        <w:rPr>
          <w:rStyle w:val="FootnoteReference"/>
        </w:rPr>
        <w:footnoteReference w:id="388"/>
      </w:r>
      <w:r>
        <w:rPr/>
        <w:t xml:space="preserve">, who sat before God on their thrones, fell upon their faces, and worshipped God,</w:t>
      </w:r>
    </w:p>
    <w:p>
      <w:pPr>
        <w:pStyle w:val="BodyVerse"/>
      </w:pPr>
      <w:r>
        <w:rPr>
          <w:b w:val="1"/>
          <w:bCs w:val="1"/>
        </w:rPr>
        <w:t xml:space="preserve">[[@Bible:Re 11:17]] </w:t>
      </w:r>
      <w:r>
        <w:rPr>
          <w:sz w:val="22"/>
          <w:szCs w:val="22"/>
          <w:b w:val="1"/>
          <w:bCs w:val="1"/>
          <w:vertAlign w:val="superscript"/>
        </w:rPr>
        <w:t xml:space="preserve">17  </w:t>
      </w:r>
      <w:r>
        <w:rPr/>
        <w:t xml:space="preserve">Saying, We give you thanks, O Lord God </w:t>
      </w:r>
      <w:r>
        <w:rPr>
          <w:b w:val="1"/>
          <w:bCs w:val="1"/>
        </w:rPr>
        <w:t xml:space="preserve">Almighty, who is and who was</w:t>
      </w:r>
      <w:r>
        <w:rPr/>
        <w:t xml:space="preserve"> </w:t>
      </w:r>
      <w:r>
        <w:rPr>
          <w:rStyle w:val="FootnoteReference"/>
        </w:rPr>
        <w:footnoteReference w:id="389"/>
      </w:r>
      <w:r>
        <w:rPr/>
        <w:t xml:space="preserve">; because you have taken your great might, and have begun to reign.</w:t>
      </w:r>
    </w:p>
    <w:p>
      <w:pPr>
        <w:pStyle w:val="BodyVerse"/>
      </w:pPr>
      <w:r>
        <w:rPr>
          <w:b w:val="1"/>
          <w:bCs w:val="1"/>
        </w:rPr>
        <w:t xml:space="preserve">[[@Bible:Re 11:18]] </w:t>
      </w:r>
      <w:r>
        <w:rPr>
          <w:sz w:val="22"/>
          <w:szCs w:val="22"/>
          <w:b w:val="1"/>
          <w:bCs w:val="1"/>
          <w:vertAlign w:val="superscript"/>
        </w:rPr>
        <w:t xml:space="preserve">18  </w:t>
      </w:r>
      <w:r>
        <w:rPr/>
        <w:t xml:space="preserve">And the nations were angry, and thy </w:t>
      </w:r>
      <w:r>
        <w:rPr>
          <w:b w:val="1"/>
          <w:bCs w:val="1"/>
        </w:rPr>
        <w:t xml:space="preserve">wrath is come</w:t>
      </w:r>
      <w:r>
        <w:rPr/>
        <w:t xml:space="preserve"> </w:t>
      </w:r>
      <w:r>
        <w:rPr>
          <w:color w:val="4A6FA5"/>
          <w:sz w:val="18"/>
          <w:szCs w:val="18"/>
        </w:rPr>
        <w:t xml:space="preserve"> (u</w:t>
      </w:r>
      <w:r>
        <w:rPr>
          <w:rStyle w:val="FootnoteReference"/>
        </w:rPr>
        <w:footnoteReference w:id="390"/>
      </w:r>
      <w:r>
        <w:rPr>
          <w:color w:val="4A6FA5"/>
          <w:sz w:val="18"/>
          <w:szCs w:val="18"/>
        </w:rPr>
        <w:t xml:space="preserve">) </w:t>
      </w:r>
      <w:r>
        <w:rPr/>
        <w:t xml:space="preserve">, and the time of the dead, that they should be judged, and that you should give reward unto </w:t>
      </w:r>
      <w:r>
        <w:rPr>
          <w:b w:val="1"/>
          <w:bCs w:val="1"/>
        </w:rPr>
        <w:t xml:space="preserve">thy servants the prophets</w:t>
      </w:r>
      <w:r>
        <w:rPr/>
        <w:t xml:space="preserve"> </w:t>
      </w:r>
      <w:r>
        <w:rPr>
          <w:rStyle w:val="FootnoteReference"/>
        </w:rPr>
        <w:footnoteReference w:id="391"/>
      </w:r>
      <w:r>
        <w:rPr/>
        <w:t xml:space="preserve">, and to the saints, and those who </w:t>
      </w:r>
      <w:r>
        <w:rPr>
          <w:b w:val="1"/>
          <w:bCs w:val="1"/>
        </w:rPr>
        <w:t xml:space="preserve">fear thy name</w:t>
      </w:r>
      <w:r>
        <w:rPr/>
        <w:t xml:space="preserve"> </w:t>
      </w:r>
      <w:r>
        <w:rPr>
          <w:rStyle w:val="FootnoteReference"/>
        </w:rPr>
        <w:footnoteReference w:id="392"/>
      </w:r>
      <w:r>
        <w:rPr/>
        <w:t xml:space="preserve">, </w:t>
      </w:r>
      <w:r>
        <w:rPr>
          <w:b w:val="1"/>
          <w:bCs w:val="1"/>
        </w:rPr>
        <w:t xml:space="preserve">small and great</w:t>
      </w:r>
      <w:r>
        <w:rPr/>
        <w:t xml:space="preserve"> </w:t>
      </w:r>
      <w:r>
        <w:rPr>
          <w:rStyle w:val="FootnoteReference"/>
        </w:rPr>
        <w:footnoteReference w:id="393"/>
      </w:r>
      <w:r>
        <w:rPr/>
        <w:t xml:space="preserve">; and should destroy them which destroy the earth.</w:t>
      </w:r>
    </w:p>
    <w:p>
      <w:pPr>
        <w:pStyle w:val="BodyVerse"/>
      </w:pPr>
      <w:r>
        <w:rPr>
          <w:b w:val="1"/>
          <w:bCs w:val="1"/>
        </w:rPr>
        <w:t xml:space="preserve">[[@Bible:Re 11:19]] </w:t>
      </w:r>
      <w:r>
        <w:rPr>
          <w:sz w:val="22"/>
          <w:szCs w:val="22"/>
          <w:b w:val="1"/>
          <w:bCs w:val="1"/>
          <w:vertAlign w:val="superscript"/>
        </w:rPr>
        <w:t xml:space="preserve">19  </w:t>
      </w:r>
      <w:r>
        <w:rPr/>
        <w:t xml:space="preserve">And </w:t>
      </w:r>
      <w:r>
        <w:rPr>
          <w:b w:val="1"/>
          <w:bCs w:val="1"/>
        </w:rPr>
        <w:t xml:space="preserve">the temple of God was opened in heaven, and there was seen in his temple the ark of his testament</w:t>
      </w:r>
      <w:r>
        <w:rPr/>
        <w:t xml:space="preserve"> </w:t>
      </w:r>
      <w:r>
        <w:rPr>
          <w:color w:val="4A6FA5"/>
          <w:sz w:val="18"/>
          <w:szCs w:val="18"/>
        </w:rPr>
        <w:t xml:space="preserve"> (t</w:t>
      </w:r>
      <w:r>
        <w:rPr>
          <w:rStyle w:val="FootnoteReference"/>
        </w:rPr>
        <w:footnoteReference w:id="394"/>
      </w:r>
      <w:r>
        <w:rPr>
          <w:color w:val="4A6FA5"/>
          <w:sz w:val="18"/>
          <w:szCs w:val="18"/>
        </w:rPr>
        <w:t xml:space="preserve">) </w:t>
      </w:r>
      <w:r>
        <w:rPr/>
        <w:t xml:space="preserve"> </w:t>
      </w:r>
      <w:r>
        <w:rPr>
          <w:rStyle w:val="FootnoteReference"/>
        </w:rPr>
        <w:footnoteReference w:id="395"/>
      </w:r>
      <w:r>
        <w:rPr/>
        <w:t xml:space="preserve">: and there were </w:t>
      </w:r>
      <w:r>
        <w:rPr>
          <w:b w:val="1"/>
          <w:bCs w:val="1"/>
        </w:rPr>
        <w:t xml:space="preserve">lightnings, and voices, and thunders, and an earthquake,</w:t>
      </w:r>
      <w:r>
        <w:rPr/>
        <w:t xml:space="preserve"> </w:t>
      </w:r>
      <w:r>
        <w:rPr>
          <w:rStyle w:val="FootnoteReference"/>
        </w:rPr>
        <w:footnoteReference w:id="396"/>
      </w:r>
      <w:r>
        <w:rPr/>
        <w:t xml:space="preserve"> and </w:t>
      </w:r>
      <w:r>
        <w:rPr>
          <w:b w:val="1"/>
          <w:bCs w:val="1"/>
        </w:rPr>
        <w:t xml:space="preserve">great hail</w:t>
      </w:r>
      <w:r>
        <w:rPr/>
        <w:t xml:space="preserve"> </w:t>
      </w:r>
      <w:r>
        <w:rPr>
          <w:rStyle w:val="FootnoteReference"/>
        </w:rPr>
        <w:footnoteReference w:id="397"/>
      </w:r>
      <w:r>
        <w:rPr/>
        <w:t xml:space="preserve">.</w:t>
      </w:r>
    </w:p>
    <w:p>
      <w:pPr>
        <w:jc w:val="center"/>
        <w:spacing w:before="120" w:after="60"/>
      </w:pPr>
      <w:r>
        <w:rPr>
          <w:sz w:val="36"/>
          <w:szCs w:val="36"/>
          <w:b w:val="1"/>
          <w:bCs w:val="1"/>
        </w:rPr>
        <w:t xml:space="preserve">✶</w:t>
      </w:r>
    </w:p>
    <w:p>
      <w:pPr>
        <w:pStyle w:val="Heading2"/>
      </w:pPr>
      <w:bookmarkStart w:id="52" w:name="_Toc52"/>
      <w:r>
        <w:t>The 7 Years of the Woman and the Three Beasts</w:t>
      </w:r>
      <w:bookmarkEnd w:id="52"/>
    </w:p>
    <w:p>
      <w:pPr>
        <w:pStyle w:val="SectionBody"/>
      </w:pPr>
      <w:r>
        <w:rPr>
          <w:b w:val="1"/>
          <w:bCs w:val="1"/>
        </w:rPr>
        <w:t xml:space="preserve">Parenthetical Scene 4.1:</w:t>
      </w:r>
      <w:r>
        <w:rPr/>
        <w:t xml:space="preserve"> This parenthetical scene has 3 parts symbolized by 3 beasts: The Red Dragon, the Sea Beast, and the Earth Beast. There are slight theme changes when each appears, making them feel more like a continuous story, with each one expanding on the one before, like a Russian nesting doll. These distinct sub-themes will be shown as parenthetical scenes 4.2 and 4.3.</w:t>
      </w:r>
    </w:p>
    <w:p>
      <w:pPr>
        <w:pStyle w:val="SectionBody"/>
      </w:pPr>
      <w:r>
        <w:rPr/>
        <w:t xml:space="preserve">But before these 3, we see a woman who is made out to be like the tribes of Israel. Because she appears and gives birth before the 1260 days start, we can place her appearance and her Son's birth before the start of the 7 years. Again, 1260 marks the day count starting from the beginning, with precedence given for this claim in Revelation 11:1-13.</w:t>
      </w:r>
    </w:p>
    <w:p>
      <w:pPr>
        <w:pStyle w:val="SectionBody"/>
      </w:pPr>
      <w:r>
        <w:rPr/>
        <w:t xml:space="preserve">The order of events in this Parenthetical Scene 4.1-3:</w:t>
      </w:r>
    </w:p>
    <w:p>
      <w:pPr>
        <w:pStyle w:val="SectionBody"/>
      </w:pPr>
      <w:r>
        <w:rPr/>
        <w:t xml:space="preserve">1. The woman with twelve stars (twelve tribes of Israel) is in distress, like a chastening from God (Isaiah 26:16-18).</w:t>
      </w:r>
    </w:p>
    <w:p>
      <w:pPr>
        <w:pStyle w:val="SectionBody"/>
      </w:pPr>
      <w:r>
        <w:rPr/>
        <w:t xml:space="preserve">2. Dragon takes 1/3 stars and casts them to earth and sets his face toward the woman.</w:t>
      </w:r>
    </w:p>
    <w:p>
      <w:pPr>
        <w:pStyle w:val="SectionBody"/>
      </w:pPr>
      <w:r>
        <w:rPr/>
        <w:t xml:space="preserve">3. She gives birth to Jesus (descends from heaven) before the start of the 1260 days. (Like in Revelation 14:1 when the Lamb is seen on Mount Zion.)</w:t>
      </w:r>
    </w:p>
    <w:p>
      <w:pPr>
        <w:pStyle w:val="SectionBody"/>
      </w:pPr>
      <w:r>
        <w:rPr/>
        <w:t xml:space="preserve">4. Once Jesus is born, He ascends to the throne of the Father in heaven.</w:t>
      </w:r>
    </w:p>
    <w:p>
      <w:pPr>
        <w:pStyle w:val="SectionBody"/>
      </w:pPr>
      <w:r>
        <w:rPr/>
        <w:t xml:space="preserve">5. The woman is </w:t>
      </w:r>
      <w:r>
        <w:rPr>
          <w:b w:val="1"/>
          <w:bCs w:val="1"/>
        </w:rPr>
        <w:t xml:space="preserve">to be</w:t>
      </w:r>
      <w:r>
        <w:rPr/>
        <w:t xml:space="preserve"> kept safe for 1260 days.</w:t>
      </w:r>
    </w:p>
    <w:p>
      <w:pPr>
        <w:pStyle w:val="SectionBody"/>
      </w:pPr>
      <w:r>
        <w:rPr/>
        <w:t xml:space="preserve">5. There is war in heaven: Michael fights the dragon, and the dragon is cast out with those 1/3 angels.</w:t>
      </w:r>
    </w:p>
    <w:p>
      <w:pPr>
        <w:pStyle w:val="SectionBody"/>
      </w:pPr>
      <w:r>
        <w:rPr/>
        <w:t xml:space="preserve">6. Salvation is declared in heaven for those who died and overcame the dragon by the blood of the Lamb.</w:t>
      </w:r>
    </w:p>
    <w:p>
      <w:pPr>
        <w:pStyle w:val="SectionBody"/>
      </w:pPr>
      <w:r>
        <w:rPr/>
        <w:t xml:space="preserve">7. Dragon pursues the woman.</w:t>
      </w:r>
    </w:p>
    <w:p>
      <w:pPr>
        <w:pStyle w:val="SectionBody"/>
      </w:pPr>
      <w:r>
        <w:rPr/>
        <w:t xml:space="preserve">8. The woman is </w:t>
      </w:r>
      <w:r>
        <w:rPr>
          <w:b w:val="1"/>
          <w:bCs w:val="1"/>
        </w:rPr>
        <w:t xml:space="preserve">to be</w:t>
      </w:r>
      <w:r>
        <w:rPr/>
        <w:t xml:space="preserve"> kept safe </w:t>
      </w:r>
      <w:r>
        <w:rPr>
          <w:b w:val="1"/>
          <w:bCs w:val="1"/>
        </w:rPr>
        <w:t xml:space="preserve">again</w:t>
      </w:r>
      <w:r>
        <w:rPr/>
        <w:t xml:space="preserve"> for "time, and times, and half a time."</w:t>
      </w:r>
    </w:p>
    <w:p>
      <w:pPr>
        <w:pStyle w:val="SectionBody"/>
      </w:pPr>
      <w:r>
        <w:rPr/>
        <w:t xml:space="preserve">9. Dragon sets his face against "those who have the testimony of Jesus" and goes to make war.</w:t>
      </w:r>
    </w:p>
    <w:p>
      <w:pPr>
        <w:pStyle w:val="SectionBody"/>
      </w:pPr>
      <w:r>
        <w:rPr/>
        <w:t xml:space="preserve">10. That war is manifested in the sea beast and the earth beast by their authority and actions given from the Dragon — they are of the Dragon.</w:t>
      </w:r>
    </w:p>
    <w:p>
      <w:pPr>
        <w:pStyle w:val="SectionBody"/>
      </w:pPr>
      <w:r>
        <w:rPr/>
        <w:t xml:space="preserve">11. The whole earth worships the sea beast, and he </w:t>
      </w:r>
      <w:r>
        <w:rPr>
          <w:b w:val="1"/>
          <w:bCs w:val="1"/>
        </w:rPr>
        <w:t xml:space="preserve">is to</w:t>
      </w:r>
      <w:r>
        <w:rPr/>
        <w:t xml:space="preserve"> rule for 42 months after the first 1260 days are over.</w:t>
      </w:r>
    </w:p>
    <w:p>
      <w:pPr>
        <w:pStyle w:val="SectionBody"/>
      </w:pPr>
      <w:r>
        <w:rPr/>
        <w:t xml:space="preserve">12. It is declared, "Here is the patience and the faith of the saints," as many are killed and taken captive.</w:t>
      </w:r>
    </w:p>
    <w:p>
      <w:pPr>
        <w:pStyle w:val="SectionBody"/>
      </w:pPr>
      <w:r>
        <w:rPr/>
        <w:t xml:space="preserve">13. The whole earth is made to worship the sea beast and take his mark 666.</w:t>
      </w:r>
    </w:p>
    <w:p>
      <w:pPr>
        <w:pStyle w:val="SectionBody"/>
      </w:pPr>
      <w:r>
        <w:rPr>
          <w:b w:val="1"/>
          <w:bCs w:val="1"/>
        </w:rPr>
        <w:t xml:space="preserve">The Dragon</w:t>
      </w:r>
      <w:r>
        <w:rPr/>
        <w:t xml:space="preserve">:</w:t>
      </w:r>
    </w:p>
    <w:p>
      <w:pPr>
        <w:pStyle w:val="SectionBody"/>
      </w:pPr>
      <w:r>
        <w:rPr/>
        <w:t xml:space="preserve">11:7, 12:3, 12:4, 12:7, 12:9, 12:10, 12:11, 12:12, 12:13, 12:14, 12:15, 12:16, 12:17, 17:3, 17:7, 17:8, 17:11, 17:12, 17:13, 17:16, 17:17, 20:10</w:t>
      </w:r>
    </w:p>
    <w:p>
      <w:pPr>
        <w:pStyle w:val="SectionBody"/>
      </w:pPr>
      <w:r>
        <w:rPr/>
        <w:t xml:space="preserve">In Revelation 12, we learn about the dragon in great detail, who he is, and how he fails. He tries to devour the child and fails, seeks to take heaven by war with his 1/3 of the angels, and then seeks to overtake the woman but fails. So he sets his face to war against the saints that are not the 144,000, and gives his power to the sea beast this time. The dragon is mentioned twice in verses 2 and 4 and then in every verse from 12:7-17. The dragon has these titles: great red dragon, old serpent, Devil, Satan, and the accuser. We will see the dragon again in Revelation 17 as the scarlet beast.</w:t>
      </w:r>
    </w:p>
    <w:p>
      <w:pPr>
        <w:pStyle w:val="SectionBody"/>
      </w:pPr>
      <w:r>
        <w:rPr>
          <w:b w:val="1"/>
          <w:bCs w:val="1"/>
        </w:rPr>
        <w:t xml:space="preserve">The Woman</w:t>
      </w:r>
      <w:r>
        <w:rPr/>
        <w:t xml:space="preserve">:</w:t>
      </w:r>
    </w:p>
    <w:p>
      <w:pPr>
        <w:pStyle w:val="SectionBody"/>
      </w:pPr>
      <w:r>
        <w:rPr/>
        <w:t xml:space="preserve">Like the stars in Revelation 1:16 likely point to human leaders, the twelve stars of the woman likely point to the twelve tribes of Israel from Revelation 7:4, specifically the 144,000. She is kept safe from the Dragon twice. She is not a celestial sign in the stars that we should be looking for.</w:t>
      </w:r>
    </w:p>
    <w:p>
      <w:pPr>
        <w:pStyle w:val="SectionBody"/>
      </w:pPr>
      <w:r>
        <w:rPr>
          <w:b w:val="1"/>
          <w:bCs w:val="1"/>
        </w:rPr>
        <w:t xml:space="preserve">Bookends</w:t>
      </w:r>
      <w:r>
        <w:rPr/>
        <w:t xml:space="preserve">: We learn about the beast’s untaken 66.6% of stars still in heaven (66.6% is the remainder of 1/3, based on a simple calculation), and then at the end of this parenthetical scene, learn of the mark of 666. So the bookends appear to be the same numbers by calculation: 666.</w:t>
      </w:r>
    </w:p>
    <w:p>
      <w:pPr>
        <w:spacing w:after="150"/>
      </w:pPr>
      <w:r>
        <w:rPr/>
        <w:t xml:space="preserve"/>
      </w:r>
    </w:p>
    <w:p>
      <w:pPr>
        <w:pStyle w:val="BodyVerse"/>
      </w:pPr>
      <w:r>
        <w:rPr>
          <w:b w:val="1"/>
          <w:bCs w:val="1"/>
        </w:rPr>
        <w:t xml:space="preserve">[[@Bible:Re 12:1]] </w:t>
      </w:r>
      <w:r>
        <w:rPr>
          <w:sz w:val="22"/>
          <w:szCs w:val="22"/>
          <w:b w:val="1"/>
          <w:bCs w:val="1"/>
          <w:vertAlign w:val="superscript"/>
        </w:rPr>
        <w:t xml:space="preserve">1  </w:t>
      </w:r>
      <w:r>
        <w:rPr/>
        <w:t xml:space="preserve">And there appeared a great </w:t>
      </w:r>
      <w:r>
        <w:rPr>
          <w:b w:val="1"/>
          <w:bCs w:val="1"/>
        </w:rPr>
        <w:t xml:space="preserve">sign in heaven</w:t>
      </w:r>
      <w:r>
        <w:rPr/>
        <w:t xml:space="preserve"> </w:t>
      </w:r>
      <w:r>
        <w:rPr>
          <w:color w:val="4A6FA5"/>
          <w:sz w:val="18"/>
          <w:szCs w:val="18"/>
        </w:rPr>
        <w:t xml:space="preserve"> (c</w:t>
      </w:r>
      <w:r>
        <w:rPr>
          <w:rStyle w:val="FootnoteReference"/>
        </w:rPr>
        <w:footnoteReference w:id="398"/>
      </w:r>
      <w:r>
        <w:rPr>
          <w:color w:val="4A6FA5"/>
          <w:sz w:val="18"/>
          <w:szCs w:val="18"/>
        </w:rPr>
        <w:t xml:space="preserve">) </w:t>
      </w:r>
      <w:r>
        <w:rPr/>
        <w:t xml:space="preserve">; a </w:t>
      </w:r>
      <w:r>
        <w:rPr>
          <w:b w:val="1"/>
          <w:bCs w:val="1"/>
        </w:rPr>
        <w:t xml:space="preserve">woman</w:t>
      </w:r>
      <w:r>
        <w:rPr/>
        <w:t xml:space="preserve"> </w:t>
      </w:r>
      <w:r>
        <w:rPr>
          <w:color w:val="4A6FA5"/>
          <w:sz w:val="18"/>
          <w:szCs w:val="18"/>
        </w:rPr>
        <w:t xml:space="preserve"> (e</w:t>
      </w:r>
      <w:r>
        <w:rPr>
          <w:rStyle w:val="FootnoteReference"/>
        </w:rPr>
        <w:footnoteReference w:id="399"/>
      </w:r>
      <w:r>
        <w:rPr>
          <w:color w:val="4A6FA5"/>
          <w:sz w:val="18"/>
          <w:szCs w:val="18"/>
        </w:rPr>
        <w:t xml:space="preserve">) </w:t>
      </w:r>
      <w:r>
        <w:rPr/>
        <w:t xml:space="preserve"> </w:t>
      </w:r>
      <w:r>
        <w:rPr>
          <w:rStyle w:val="FootnoteReference"/>
        </w:rPr>
        <w:footnoteReference w:id="400"/>
      </w:r>
      <w:r>
        <w:rPr/>
        <w:t xml:space="preserve"> </w:t>
      </w:r>
      <w:r>
        <w:rPr>
          <w:rStyle w:val="FootnoteReference"/>
        </w:rPr>
        <w:footnoteReference w:id="401"/>
      </w:r>
      <w:r>
        <w:rPr/>
        <w:t xml:space="preserve"> clothed with the sun, and the moon under her feet, and upon her head a crown of </w:t>
      </w:r>
      <w:r>
        <w:rPr>
          <w:b w:val="1"/>
          <w:bCs w:val="1"/>
        </w:rPr>
        <w:t xml:space="preserve">twelve stars</w:t>
      </w:r>
      <w:r>
        <w:rPr/>
        <w:t xml:space="preserve"> </w:t>
      </w:r>
      <w:r>
        <w:rPr>
          <w:rStyle w:val="FootnoteReference"/>
        </w:rPr>
        <w:footnoteReference w:id="402"/>
      </w:r>
      <w:r>
        <w:rPr/>
        <w:t xml:space="preserve"> </w:t>
      </w:r>
      <w:r>
        <w:rPr>
          <w:rStyle w:val="FootnoteReference"/>
        </w:rPr>
        <w:footnoteReference w:id="403"/>
      </w:r>
      <w:r>
        <w:rPr/>
        <w:t xml:space="preserve">:</w:t>
      </w:r>
    </w:p>
    <w:p>
      <w:pPr>
        <w:jc w:val="left"/>
        <w:ind w:left="360" w:right="0" w:firstLine="0" w:hanging="0"/>
        <w:spacing w:after="60"/>
      </w:pPr>
      <w:r>
        <w:rPr>
          <w:sz w:val="18"/>
          <w:szCs w:val="18"/>
          <w:i w:val="1"/>
          <w:iCs w:val="1"/>
        </w:rPr>
        <w:t xml:space="preserve">[fn] σημεῖον meaning "sign", ESV gets this right and the KJV misses the depth of the word.</w:t>
      </w:r>
    </w:p>
    <w:p>
      <w:pPr>
        <w:pStyle w:val="BodyVerse"/>
      </w:pPr>
      <w:r>
        <w:rPr>
          <w:b w:val="1"/>
          <w:bCs w:val="1"/>
        </w:rPr>
        <w:t xml:space="preserve">[[@Bible:Re 12:2]] </w:t>
      </w:r>
      <w:r>
        <w:rPr>
          <w:sz w:val="22"/>
          <w:szCs w:val="22"/>
          <w:b w:val="1"/>
          <w:bCs w:val="1"/>
          <w:vertAlign w:val="superscript"/>
        </w:rPr>
        <w:t xml:space="preserve">2  </w:t>
      </w:r>
      <w:r>
        <w:rPr/>
        <w:t xml:space="preserve">And she, being with child, cried, travailing in birth, and pained to be delivered. </w:t>
      </w:r>
      <w:r>
        <w:rPr>
          <w:rStyle w:val="FootnoteReference"/>
        </w:rPr>
        <w:footnoteReference w:id="404"/>
      </w:r>
    </w:p>
    <w:p>
      <w:pPr>
        <w:spacing w:after="150"/>
      </w:pPr>
      <w:r>
        <w:rPr/>
        <w:t xml:space="preserve"/>
      </w:r>
    </w:p>
    <w:p>
      <w:pPr>
        <w:pStyle w:val="Heading3"/>
      </w:pPr>
      <w:bookmarkStart w:id="53" w:name="_Toc53"/>
      <w:r>
        <w:t>Beast 1: The Red Dragon, Satan</w:t>
      </w:r>
      <w:bookmarkEnd w:id="53"/>
    </w:p>
    <w:p>
      <w:pPr>
        <w:pStyle w:val="BodyVerse"/>
      </w:pPr>
      <w:r>
        <w:rPr>
          <w:b w:val="1"/>
          <w:bCs w:val="1"/>
        </w:rPr>
        <w:t xml:space="preserve">[[@Bible:Re 12:3]] </w:t>
      </w:r>
      <w:r>
        <w:rPr>
          <w:sz w:val="22"/>
          <w:szCs w:val="22"/>
          <w:b w:val="1"/>
          <w:bCs w:val="1"/>
          <w:vertAlign w:val="superscript"/>
        </w:rPr>
        <w:t xml:space="preserve">3  </w:t>
      </w:r>
      <w:r>
        <w:rPr/>
        <w:t xml:space="preserve">And there appeared another </w:t>
      </w:r>
      <w:r>
        <w:rPr>
          <w:b w:val="1"/>
          <w:bCs w:val="1"/>
        </w:rPr>
        <w:t xml:space="preserve">sign in heaven</w:t>
      </w:r>
      <w:r>
        <w:rPr/>
        <w:t xml:space="preserve"> </w:t>
      </w:r>
      <w:r>
        <w:rPr>
          <w:color w:val="4A6FA5"/>
          <w:sz w:val="18"/>
          <w:szCs w:val="18"/>
        </w:rPr>
        <w:t xml:space="preserve"> (c</w:t>
      </w:r>
      <w:r>
        <w:rPr>
          <w:rStyle w:val="FootnoteReference"/>
        </w:rPr>
        <w:footnoteReference w:id="405"/>
      </w:r>
      <w:r>
        <w:rPr>
          <w:color w:val="4A6FA5"/>
          <w:sz w:val="18"/>
          <w:szCs w:val="18"/>
        </w:rPr>
        <w:t xml:space="preserve">) </w:t>
      </w:r>
      <w:r>
        <w:rPr/>
        <w:t xml:space="preserve">; and behold, a great </w:t>
      </w:r>
      <w:r>
        <w:rPr>
          <w:b w:val="1"/>
          <w:bCs w:val="1"/>
        </w:rPr>
        <w:t xml:space="preserve">fiery-red dragon</w:t>
      </w:r>
      <w:r>
        <w:rPr/>
        <w:t xml:space="preserve"> </w:t>
      </w:r>
      <w:r>
        <w:rPr>
          <w:color w:val="4A6FA5"/>
          <w:sz w:val="18"/>
          <w:szCs w:val="18"/>
        </w:rPr>
        <w:t xml:space="preserve"> (d</w:t>
      </w:r>
      <w:r>
        <w:rPr>
          <w:rStyle w:val="FootnoteReference"/>
        </w:rPr>
        <w:footnoteReference w:id="406"/>
      </w:r>
      <w:r>
        <w:rPr>
          <w:color w:val="4A6FA5"/>
          <w:sz w:val="18"/>
          <w:szCs w:val="18"/>
        </w:rPr>
        <w:t xml:space="preserve">) </w:t>
      </w:r>
      <w:r>
        <w:rPr/>
        <w:t xml:space="preserve">, </w:t>
      </w:r>
      <w:r>
        <w:rPr>
          <w:b w:val="1"/>
          <w:bCs w:val="1"/>
        </w:rPr>
        <w:t xml:space="preserve">having seven heads and ten horns</w:t>
      </w:r>
      <w:r>
        <w:rPr/>
        <w:t xml:space="preserve"> </w:t>
      </w:r>
      <w:r>
        <w:rPr>
          <w:rStyle w:val="FootnoteReference"/>
        </w:rPr>
        <w:footnoteReference w:id="407"/>
      </w:r>
      <w:r>
        <w:rPr/>
        <w:t xml:space="preserve"> </w:t>
      </w:r>
      <w:r>
        <w:rPr>
          <w:rStyle w:val="FootnoteReference"/>
        </w:rPr>
        <w:footnoteReference w:id="408"/>
      </w:r>
      <w:r>
        <w:rPr/>
        <w:t xml:space="preserve">, and upon his heads </w:t>
      </w:r>
      <w:r>
        <w:rPr>
          <w:b w:val="1"/>
          <w:bCs w:val="1"/>
        </w:rPr>
        <w:t xml:space="preserve">seven diadems</w:t>
      </w:r>
      <w:r>
        <w:rPr/>
        <w:t xml:space="preserve"> </w:t>
      </w:r>
      <w:r>
        <w:rPr>
          <w:rStyle w:val="FootnoteReference"/>
        </w:rPr>
        <w:footnoteReference w:id="409"/>
      </w:r>
      <w:r>
        <w:rPr/>
        <w:t xml:space="preserve">  </w:t>
      </w:r>
      <w:r>
        <w:rPr>
          <w:color w:val="4A6FA5"/>
          <w:sz w:val="18"/>
          <w:szCs w:val="18"/>
        </w:rPr>
        <w:t xml:space="preserve"> (dd</w:t>
      </w:r>
      <w:r>
        <w:rPr>
          <w:rStyle w:val="FootnoteReference"/>
        </w:rPr>
        <w:footnoteReference w:id="410"/>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σημεῖον, a "sign" only used 3 times. It is used to connect 12-13 to 15.</w:t>
      </w:r>
    </w:p>
    <w:p>
      <w:pPr>
        <w:jc w:val="left"/>
        <w:ind w:left="360" w:right="0" w:firstLine="0" w:hanging="0"/>
        <w:spacing w:after="60"/>
      </w:pPr>
      <w:r>
        <w:rPr>
          <w:sz w:val="18"/>
          <w:szCs w:val="18"/>
          <w:i w:val="1"/>
          <w:iCs w:val="1"/>
        </w:rPr>
        <w:t xml:space="preserve">[fn] These seven crowns seem to communicate the authority over the 7 heads.</w:t>
      </w:r>
    </w:p>
    <w:p>
      <w:pPr>
        <w:pStyle w:val="BodyVerse"/>
      </w:pPr>
      <w:r>
        <w:rPr>
          <w:b w:val="1"/>
          <w:bCs w:val="1"/>
        </w:rPr>
        <w:t xml:space="preserve">[[@Bible:Re 12:4]] </w:t>
      </w:r>
      <w:r>
        <w:rPr>
          <w:sz w:val="22"/>
          <w:szCs w:val="22"/>
          <w:b w:val="1"/>
          <w:bCs w:val="1"/>
          <w:vertAlign w:val="superscript"/>
        </w:rPr>
        <w:t xml:space="preserve">4  </w:t>
      </w:r>
      <w:r>
        <w:rPr/>
        <w:t xml:space="preserve">And his tail drew the </w:t>
      </w:r>
      <w:r>
        <w:rPr>
          <w:b w:val="1"/>
          <w:bCs w:val="1"/>
        </w:rPr>
        <w:t xml:space="preserve">third part</w:t>
      </w:r>
      <w:r>
        <w:rPr/>
        <w:t xml:space="preserve"> </w:t>
      </w:r>
      <w:r>
        <w:rPr>
          <w:rStyle w:val="FootnoteReference"/>
        </w:rPr>
        <w:footnoteReference w:id="411"/>
      </w:r>
      <w:r>
        <w:rPr/>
        <w:t xml:space="preserve"> of the stars of heaven, and did cast them to the earth: and the dragon stood before the woman who was ready to be delivered, so that when she bore her child </w:t>
      </w:r>
      <w:r>
        <w:rPr>
          <w:b w:val="1"/>
          <w:bCs w:val="1"/>
        </w:rPr>
        <w:t xml:space="preserve">he might devour it</w:t>
      </w:r>
      <w:r>
        <w:rPr/>
        <w:t xml:space="preserve"> </w:t>
      </w:r>
      <w:r>
        <w:rPr>
          <w:rStyle w:val="FootnoteReference"/>
        </w:rPr>
        <w:footnoteReference w:id="412"/>
      </w:r>
      <w:r>
        <w:rPr/>
        <w:t xml:space="preserve">.</w:t>
      </w:r>
    </w:p>
    <w:p>
      <w:pPr>
        <w:jc w:val="left"/>
        <w:ind w:left="360" w:right="0" w:firstLine="0" w:hanging="0"/>
        <w:spacing w:after="60"/>
      </w:pPr>
      <w:r>
        <w:rPr>
          <w:sz w:val="18"/>
          <w:szCs w:val="18"/>
          <w:i w:val="1"/>
          <w:iCs w:val="1"/>
        </w:rPr>
        <w:t xml:space="preserve">[fn] Satan now has angels with him, soon he will use them to wage war in heaven.</w:t>
      </w:r>
    </w:p>
    <w:p>
      <w:pPr>
        <w:spacing w:after="150"/>
      </w:pPr>
      <w:r>
        <w:rPr/>
        <w:t xml:space="preserve"/>
      </w:r>
    </w:p>
    <w:p>
      <w:pPr>
        <w:pStyle w:val="Heading3"/>
      </w:pPr>
      <w:bookmarkStart w:id="54" w:name="_Toc54"/>
      <w:r>
        <w:t>The Male Child, Christ Ascends to Throne</w:t>
      </w:r>
      <w:bookmarkEnd w:id="54"/>
    </w:p>
    <w:p>
      <w:pPr>
        <w:pStyle w:val="SectionBody"/>
      </w:pPr>
      <w:r>
        <w:rPr>
          <w:b w:val="1"/>
          <w:bCs w:val="1"/>
        </w:rPr>
        <w:t xml:space="preserve">Important Note:</w:t>
      </w:r>
      <w:r>
        <w:rPr/>
        <w:t xml:space="preserve"> Revelation 4:1 tells us this birth is a future event: "...I will show you what must take place after this," the birth of Revelation 12:5 is </w:t>
      </w:r>
      <w:r>
        <w:rPr>
          <w:b w:val="1"/>
          <w:bCs w:val="1"/>
        </w:rPr>
        <w:t xml:space="preserve">not</w:t>
      </w:r>
      <w:r>
        <w:rPr/>
        <w:t xml:space="preserve"> the virgin birth of Jesus by Mary.</w:t>
      </w:r>
    </w:p>
    <w:p>
      <w:pPr>
        <w:spacing w:after="150"/>
      </w:pPr>
      <w:r>
        <w:rPr/>
        <w:t xml:space="preserve"/>
      </w:r>
    </w:p>
    <w:p>
      <w:pPr>
        <w:pStyle w:val="BodyVerse"/>
      </w:pPr>
      <w:r>
        <w:rPr>
          <w:b w:val="1"/>
          <w:bCs w:val="1"/>
        </w:rPr>
        <w:t xml:space="preserve">[[@Bible:Re 12:5]] </w:t>
      </w:r>
      <w:r>
        <w:rPr>
          <w:sz w:val="22"/>
          <w:szCs w:val="22"/>
          <w:b w:val="1"/>
          <w:bCs w:val="1"/>
          <w:vertAlign w:val="superscript"/>
        </w:rPr>
        <w:t xml:space="preserve">5  </w:t>
      </w:r>
      <w:r>
        <w:rPr/>
        <w:t xml:space="preserve">And she brought forth a </w:t>
      </w:r>
      <w:r>
        <w:rPr>
          <w:b w:val="1"/>
          <w:bCs w:val="1"/>
        </w:rPr>
        <w:t xml:space="preserve">man child</w:t>
      </w:r>
      <w:r>
        <w:rPr/>
        <w:t xml:space="preserve"> </w:t>
      </w:r>
      <w:r>
        <w:rPr>
          <w:color w:val="4A6FA5"/>
          <w:sz w:val="18"/>
          <w:szCs w:val="18"/>
        </w:rPr>
        <w:t xml:space="preserve"> (a</w:t>
      </w:r>
      <w:r>
        <w:rPr>
          <w:rStyle w:val="FootnoteReference"/>
        </w:rPr>
        <w:footnoteReference w:id="413"/>
      </w:r>
      <w:r>
        <w:rPr>
          <w:color w:val="4A6FA5"/>
          <w:sz w:val="18"/>
          <w:szCs w:val="18"/>
        </w:rPr>
        <w:t xml:space="preserve">) </w:t>
      </w:r>
      <w:r>
        <w:rPr/>
        <w:t xml:space="preserve">, who was to rule all nations with a </w:t>
      </w:r>
      <w:r>
        <w:rPr>
          <w:b w:val="1"/>
          <w:bCs w:val="1"/>
        </w:rPr>
        <w:t xml:space="preserve">rod of iron</w:t>
      </w:r>
      <w:r>
        <w:rPr/>
        <w:t xml:space="preserve"> </w:t>
      </w:r>
      <w:r>
        <w:rPr>
          <w:rStyle w:val="FootnoteReference"/>
        </w:rPr>
        <w:footnoteReference w:id="414"/>
      </w:r>
      <w:r>
        <w:rPr/>
        <w:t xml:space="preserve">: and her child was caught up unto God, and to his </w:t>
      </w:r>
      <w:r>
        <w:rPr>
          <w:b w:val="1"/>
          <w:bCs w:val="1"/>
        </w:rPr>
        <w:t xml:space="preserve">throne</w:t>
      </w:r>
      <w:r>
        <w:rPr/>
        <w:t xml:space="preserve"> </w:t>
      </w:r>
      <w:r>
        <w:rPr>
          <w:rStyle w:val="FootnoteReference"/>
        </w:rPr>
        <w:footnoteReference w:id="415"/>
      </w:r>
      <w:r>
        <w:rPr/>
        <w:t xml:space="preserve">. </w:t>
      </w:r>
      <w:r>
        <w:rPr>
          <w:rStyle w:val="FootnoteReference"/>
        </w:rPr>
        <w:footnoteReference w:id="416"/>
      </w:r>
    </w:p>
    <w:p>
      <w:pPr>
        <w:spacing w:after="150"/>
      </w:pPr>
      <w:r>
        <w:rPr/>
        <w:t xml:space="preserve"/>
      </w:r>
    </w:p>
    <w:p>
      <w:pPr>
        <w:pStyle w:val="Heading3"/>
      </w:pPr>
      <w:bookmarkStart w:id="55" w:name="_Toc55"/>
      <w:r>
        <w:t>1260 Days Start: The Woman, Feed</w:t>
      </w:r>
      <w:bookmarkEnd w:id="55"/>
    </w:p>
    <w:p>
      <w:pPr>
        <w:pStyle w:val="BodyVerse"/>
      </w:pPr>
      <w:r>
        <w:rPr>
          <w:b w:val="1"/>
          <w:bCs w:val="1"/>
        </w:rPr>
        <w:t xml:space="preserve">[[@Bible:Re 12:6]] </w:t>
      </w:r>
      <w:r>
        <w:rPr>
          <w:sz w:val="22"/>
          <w:szCs w:val="22"/>
          <w:b w:val="1"/>
          <w:bCs w:val="1"/>
          <w:vertAlign w:val="superscript"/>
        </w:rPr>
        <w:t xml:space="preserve">6  </w:t>
      </w:r>
      <w:r>
        <w:rPr/>
        <w:t xml:space="preserve">And the woman fled into the wilderness, where she has a place prepared of God, that they should feed her there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417"/>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τρέφω to "feed" or "take care of". In the KJV we see "feed" in Revelation 7:17 but there the word is "ποιμαίνω" which means to "shepherd, tend, pasture" so we should not link 12:6 and 7:17.</w:t>
      </w:r>
    </w:p>
    <w:p>
      <w:pPr>
        <w:jc w:val="center"/>
        <w:spacing w:before="120" w:after="60"/>
      </w:pPr>
      <w:r>
        <w:rPr>
          <w:sz w:val="36"/>
          <w:szCs w:val="36"/>
          <w:b w:val="1"/>
          <w:bCs w:val="1"/>
        </w:rPr>
        <w:t xml:space="preserve">✶</w:t>
      </w:r>
    </w:p>
    <w:p>
      <w:pPr>
        <w:pStyle w:val="Heading3"/>
      </w:pPr>
      <w:bookmarkStart w:id="56" w:name="_Toc56"/>
      <w:r>
        <w:t>War in Heaven</w:t>
      </w:r>
      <w:bookmarkEnd w:id="56"/>
    </w:p>
    <w:p>
      <w:pPr>
        <w:pStyle w:val="SectionBody"/>
      </w:pPr>
      <w:r>
        <w:rPr>
          <w:b w:val="1"/>
          <w:bCs w:val="1"/>
        </w:rPr>
        <w:t xml:space="preserve">Parenthetical Scene 4.1a</w:t>
      </w:r>
      <w:r>
        <w:rPr/>
        <w:t xml:space="preserve">: A battle takes place very likely at the very start, or less likely, the middle of the 7 years. The keyword “salvation” in verse 10 appears to place the battle at the start of the tribulation, at the beginning of the 1260 days. Furthermore, this battle seems to link back to the 1/3 of the stars cast to earth by Satan — this appears to be how Satan got angels to fight with him.</w:t>
      </w:r>
    </w:p>
    <w:p>
      <w:pPr>
        <w:spacing w:after="150"/>
      </w:pPr>
      <w:r>
        <w:rPr/>
        <w:t xml:space="preserve"/>
      </w:r>
    </w:p>
    <w:p>
      <w:pPr>
        <w:pStyle w:val="BodyVerse"/>
      </w:pPr>
      <w:r>
        <w:rPr>
          <w:b w:val="1"/>
          <w:bCs w:val="1"/>
        </w:rPr>
        <w:t xml:space="preserve">[[@Bible:Re 12:7]] </w:t>
      </w:r>
      <w:r>
        <w:rPr>
          <w:sz w:val="22"/>
          <w:szCs w:val="22"/>
          <w:b w:val="1"/>
          <w:bCs w:val="1"/>
          <w:vertAlign w:val="superscript"/>
        </w:rPr>
        <w:t xml:space="preserve">7  </w:t>
      </w:r>
      <w:r>
        <w:rPr/>
        <w:t xml:space="preserve">And there was war in heaven: Michael and </w:t>
      </w:r>
      <w:r>
        <w:rPr>
          <w:b w:val="1"/>
          <w:bCs w:val="1"/>
        </w:rPr>
        <w:t xml:space="preserve">his messengers</w:t>
      </w:r>
      <w:r>
        <w:rPr/>
        <w:t xml:space="preserve"> </w:t>
      </w:r>
      <w:r>
        <w:rPr>
          <w:rStyle w:val="FootnoteReference"/>
        </w:rPr>
        <w:footnoteReference w:id="418"/>
      </w:r>
      <w:r>
        <w:rPr/>
        <w:t xml:space="preserve"> waging war against the dragon; and the </w:t>
      </w:r>
      <w:r>
        <w:rPr>
          <w:b w:val="1"/>
          <w:bCs w:val="1"/>
        </w:rPr>
        <w:t xml:space="preserve">dragon</w:t>
      </w:r>
      <w:r>
        <w:rPr/>
        <w:t xml:space="preserve"> waged war and his messengers </w:t>
      </w:r>
      <w:r>
        <w:rPr>
          <w:rStyle w:val="FootnoteReference"/>
        </w:rPr>
        <w:footnoteReference w:id="419"/>
      </w:r>
      <w:r>
        <w:rPr/>
        <w:t xml:space="preserve">,</w:t>
      </w:r>
    </w:p>
    <w:p>
      <w:pPr>
        <w:pStyle w:val="BodyVerse"/>
      </w:pPr>
      <w:r>
        <w:rPr>
          <w:b w:val="1"/>
          <w:bCs w:val="1"/>
        </w:rPr>
        <w:t xml:space="preserve">[[@Bible:Re 12:8]] </w:t>
      </w:r>
      <w:r>
        <w:rPr>
          <w:sz w:val="22"/>
          <w:szCs w:val="22"/>
          <w:b w:val="1"/>
          <w:bCs w:val="1"/>
          <w:vertAlign w:val="superscript"/>
        </w:rPr>
        <w:t xml:space="preserve">8  </w:t>
      </w:r>
      <w:r>
        <w:rPr/>
        <w:t xml:space="preserve">And he was not strong enough; neither was their place found for them any more in heaven.</w:t>
      </w:r>
    </w:p>
    <w:p>
      <w:pPr>
        <w:pStyle w:val="BodyVerse"/>
      </w:pPr>
      <w:r>
        <w:rPr>
          <w:b w:val="1"/>
          <w:bCs w:val="1"/>
        </w:rPr>
        <w:t xml:space="preserve">[[@Bible:Re 12:9]] </w:t>
      </w:r>
      <w:r>
        <w:rPr>
          <w:sz w:val="22"/>
          <w:szCs w:val="22"/>
          <w:b w:val="1"/>
          <w:bCs w:val="1"/>
          <w:vertAlign w:val="superscript"/>
        </w:rPr>
        <w:t xml:space="preserve">9  </w:t>
      </w:r>
      <w:r>
        <w:rPr/>
        <w:t xml:space="preserve">And the great dragon was </w:t>
      </w:r>
      <w:r>
        <w:rPr>
          <w:b w:val="1"/>
          <w:bCs w:val="1"/>
        </w:rPr>
        <w:t xml:space="preserve">cast out</w:t>
      </w:r>
      <w:r>
        <w:rPr/>
        <w:t xml:space="preserve"> </w:t>
      </w:r>
      <w:r>
        <w:rPr>
          <w:rStyle w:val="FootnoteReference"/>
        </w:rPr>
        <w:footnoteReference w:id="420"/>
      </w:r>
      <w:r>
        <w:rPr/>
        <w:t xml:space="preserve">, that old serpent, called the Devil, and Satan, who deceives the whole world: he was cast out into the earth, and his </w:t>
      </w:r>
      <w:r>
        <w:rPr>
          <w:b w:val="1"/>
          <w:bCs w:val="1"/>
        </w:rPr>
        <w:t xml:space="preserve">messengers were cast out with him</w:t>
      </w:r>
      <w:r>
        <w:rPr/>
        <w:t xml:space="preserve"> </w:t>
      </w:r>
      <w:r>
        <w:rPr>
          <w:rStyle w:val="FootnoteReference"/>
        </w:rPr>
        <w:footnoteReference w:id="421"/>
      </w:r>
      <w:r>
        <w:rPr/>
        <w:t xml:space="preserve">.</w:t>
      </w:r>
    </w:p>
    <w:p>
      <w:pPr>
        <w:spacing w:after="150"/>
      </w:pPr>
      <w:r>
        <w:rPr/>
        <w:t xml:space="preserve"/>
      </w:r>
    </w:p>
    <w:p>
      <w:pPr>
        <w:pStyle w:val="Heading3"/>
      </w:pPr>
      <w:bookmarkStart w:id="57" w:name="_Toc57"/>
      <w:r>
        <w:t>Salvation Proclaimed</w:t>
      </w:r>
      <w:bookmarkEnd w:id="57"/>
    </w:p>
    <w:p>
      <w:pPr>
        <w:pStyle w:val="SectionBody"/>
      </w:pPr>
      <w:r>
        <w:rPr>
          <w:b w:val="1"/>
          <w:bCs w:val="1"/>
        </w:rPr>
        <w:t xml:space="preserve">Important Note:</w:t>
      </w:r>
      <w:r>
        <w:rPr/>
        <w:t xml:space="preserve"> Fair warning, what follows is going to be hard to grasp; this is something hard to understand. Revelation 12:10-11 speaks of a group who "loved not their lives unto the death" and have "overcome" at a time of "salvation".</w:t>
      </w:r>
    </w:p>
    <w:p>
      <w:pPr>
        <w:pStyle w:val="SectionBody"/>
      </w:pPr>
      <w:r>
        <w:rPr/>
        <w:t xml:space="preserve">At first glance, these saints might appear to be linked to the patience of the saints in the middle of the time of the tribulation, but they are not. From 13:10 and 14:12, and to the rest of the saints in 6:11 and 14:13, those saints are described as under the altar or as souls. This group is not.</w:t>
      </w:r>
    </w:p>
    <w:p>
      <w:pPr>
        <w:pStyle w:val="SectionBody"/>
      </w:pPr>
      <w:r>
        <w:rPr/>
        <w:t xml:space="preserve">These saints have prevailed against “the dragon” (the accuser), making them distinct from those who overcame the sea beast in 20:4 and did not take the mark of the beast. They are also distinct from the resurrected group in 20:4, where death is not established as an attribute of overcoming. The phrase "overcome" is established in Revelation 15:2 as language for saints who are already in heaven and not dead. Thus, this "salvation" and this "overcomer" group is not linked to the end of the tribulation resurrection in Revelation 20:4.</w:t>
      </w:r>
    </w:p>
    <w:p>
      <w:pPr>
        <w:pStyle w:val="SectionBody"/>
      </w:pPr>
      <w:r>
        <w:rPr/>
        <w:t xml:space="preserve">So, when is this group seen in Revelation 12:10-11 (if not at the end of the tribulation, as in Revelation 20:4)? At the beginning, middle, or end of the 7 years?</w:t>
      </w:r>
    </w:p>
    <w:p>
      <w:pPr>
        <w:pStyle w:val="SectionBody"/>
      </w:pPr>
      <w:r>
        <w:rPr/>
        <w:t xml:space="preserve">The declaration of “salvation”, in Greek σωτηρία, better fits the time when the other occurrences of “salvation” appear, which is </w:t>
      </w:r>
      <w:r>
        <w:rPr>
          <w:b w:val="1"/>
          <w:bCs w:val="1"/>
        </w:rPr>
        <w:t xml:space="preserve">at the start of the tribulation</w:t>
      </w:r>
      <w:r>
        <w:rPr/>
        <w:t xml:space="preserve">, right after the fall of Mystery Babylon, and immediately after the 144,000 are sealed. So this proclamation seems to initiate that time, right after or as Jesus ascends into heaven, and not too far before the fall of Mystery Babylon.</w:t>
      </w:r>
    </w:p>
    <w:p>
      <w:pPr>
        <w:pStyle w:val="SectionBody"/>
      </w:pPr>
      <w:r>
        <w:rPr/>
        <w:t xml:space="preserve">Because the text seems to suggest two resurrections, with one possible here in Revelation 12:11 </w:t>
      </w:r>
      <w:r>
        <w:rPr>
          <w:b w:val="1"/>
          <w:bCs w:val="1"/>
        </w:rPr>
        <w:t xml:space="preserve">near the beginning</w:t>
      </w:r>
      <w:r>
        <w:rPr/>
        <w:t xml:space="preserve"> of the tribulation, and another resurrection at the end </w:t>
      </w:r>
      <w:r>
        <w:rPr>
          <w:b w:val="1"/>
          <w:bCs w:val="1"/>
        </w:rPr>
        <w:t xml:space="preserve">after</w:t>
      </w:r>
      <w:r>
        <w:rPr/>
        <w:t xml:space="preserve"> the catching up of believers in the reaping at the 7th trumpet. We should pause and look to the other books of the Bible to confirm this is possible. What does Paul say? He lays this out plainly.</w:t>
      </w:r>
    </w:p>
    <w:p>
      <w:pPr>
        <w:pStyle w:val="SectionBody"/>
      </w:pPr>
      <w:r>
        <w:rPr/>
        <w:t xml:space="preserve">In 1 Corinthians 15:52, Paul places the time when Jesus comes for his Bride at the time when the </w:t>
      </w:r>
      <w:r>
        <w:rPr>
          <w:b w:val="1"/>
          <w:bCs w:val="1"/>
        </w:rPr>
        <w:t xml:space="preserve">resurrection of the dead occurs first</w:t>
      </w:r>
      <w:r>
        <w:rPr/>
        <w:t xml:space="preserve">, before a reaping of living believers. This is the opposite order of the events at the 7th trumpet and its reaping. In Paul's account, the living church goes into heaven immediately after a resurrection of the dead, not before. Further, in 1 Corinthians 15:52 and 1 Thessalonians 4:16-17, we should not expect any meaningful gap between these a resurection and reaping of the living. So, Paul's account sounds a lot like what Revelation 12:10-11 signals when we connect its "salvation" to the "salvations" of 7:10 and 19:1 — a place where Hebrews 9:28 puts the descending of Jesus and our salvation.</w:t>
      </w:r>
    </w:p>
    <w:p>
      <w:pPr>
        <w:pStyle w:val="SectionBody"/>
      </w:pPr>
      <w:r>
        <w:rPr/>
        <w:t xml:space="preserve">Again, Paul places his resurrection, the one we look for, before and with a catching-up to heaven of the living; they occur together, “in a moment, in the twinkling of an eye.” This alone argues against inserting extended prophetic intervals between the two, which would be required for a view of the 7th trumpet and the resurrection of 20:4, and not what Paul speaks about in 1 Corinthians 15:52.</w:t>
      </w:r>
    </w:p>
    <w:p>
      <w:pPr>
        <w:pStyle w:val="SectionBody"/>
      </w:pPr>
      <w:r>
        <w:rPr/>
        <w:t xml:space="preserve">Overall, this verse appears to describe a distinct group of saints already in heaven—likely the resurrected dead. There is a war in heaven that results in Satan and his angels being cast out, yet the possible arrival of a new group may mark the decisive moment that seals that removal. Revelation 12:10–11 then reflects the outcome of that war. The pattern elsewhere in Scripture indicates that the dead are raised first, followed by the catching up of the living church. Satan is forced down to the earth, and subsequently, the living church ascends into heaven. The result is a striking reversal: Satan comes to earth just as the church is taken out of it. In this sense, their places are exchanged.</w:t>
      </w:r>
    </w:p>
    <w:p>
      <w:pPr>
        <w:spacing w:after="150"/>
      </w:pPr>
      <w:r>
        <w:rPr/>
        <w:t xml:space="preserve"/>
      </w:r>
    </w:p>
    <w:p>
      <w:pPr>
        <w:pStyle w:val="BodyVerse"/>
      </w:pPr>
      <w:r>
        <w:rPr>
          <w:b w:val="1"/>
          <w:bCs w:val="1"/>
        </w:rPr>
        <w:t xml:space="preserve">[[@Bible:Re 12:10]] </w:t>
      </w:r>
      <w:r>
        <w:rPr>
          <w:sz w:val="22"/>
          <w:szCs w:val="22"/>
          <w:b w:val="1"/>
          <w:bCs w:val="1"/>
          <w:vertAlign w:val="superscript"/>
        </w:rPr>
        <w:t xml:space="preserve">10  </w:t>
      </w:r>
      <w:r>
        <w:rPr/>
        <w:t xml:space="preserve">And I heard a great voice saying in heaven, Now is come </w:t>
      </w:r>
      <w:r>
        <w:rPr>
          <w:b w:val="1"/>
          <w:bCs w:val="1"/>
        </w:rPr>
        <w:t xml:space="preserve">salvation</w:t>
      </w:r>
      <w:r>
        <w:rPr/>
        <w:t xml:space="preserve"> </w:t>
      </w:r>
      <w:r>
        <w:rPr>
          <w:color w:val="4A6FA5"/>
          <w:sz w:val="18"/>
          <w:szCs w:val="18"/>
        </w:rPr>
        <w:t xml:space="preserve"> (g</w:t>
      </w:r>
      <w:r>
        <w:rPr>
          <w:rStyle w:val="FootnoteReference"/>
        </w:rPr>
        <w:footnoteReference w:id="422"/>
      </w:r>
      <w:r>
        <w:rPr>
          <w:color w:val="4A6FA5"/>
          <w:sz w:val="18"/>
          <w:szCs w:val="18"/>
        </w:rPr>
        <w:t xml:space="preserve">) </w:t>
      </w:r>
      <w:r>
        <w:rPr/>
        <w:t xml:space="preserve">, and might, and the kingdom of our God, and the power of his Christ: for the accuser of </w:t>
      </w:r>
      <w:r>
        <w:rPr>
          <w:b w:val="1"/>
          <w:bCs w:val="1"/>
        </w:rPr>
        <w:t xml:space="preserve">our brethren</w:t>
      </w:r>
      <w:r>
        <w:rPr/>
        <w:t xml:space="preserve"> </w:t>
      </w:r>
      <w:r>
        <w:rPr>
          <w:rStyle w:val="FootnoteReference"/>
        </w:rPr>
        <w:footnoteReference w:id="423"/>
      </w:r>
      <w:r>
        <w:rPr/>
        <w:t xml:space="preserve"> is cast down, who accused them before our God day and night.</w:t>
      </w:r>
    </w:p>
    <w:p>
      <w:pPr>
        <w:pStyle w:val="BodyVerse"/>
      </w:pPr>
      <w:r>
        <w:rPr>
          <w:b w:val="1"/>
          <w:bCs w:val="1"/>
        </w:rPr>
        <w:t xml:space="preserve">[[@Bible:Re 12:11]] </w:t>
      </w:r>
      <w:r>
        <w:rPr>
          <w:sz w:val="22"/>
          <w:szCs w:val="22"/>
          <w:b w:val="1"/>
          <w:bCs w:val="1"/>
          <w:vertAlign w:val="superscript"/>
        </w:rPr>
        <w:t xml:space="preserve">11  </w:t>
      </w:r>
      <w:r>
        <w:rPr/>
        <w:t xml:space="preserve">And they </w:t>
      </w:r>
      <w:r>
        <w:rPr>
          <w:b w:val="1"/>
          <w:bCs w:val="1"/>
        </w:rPr>
        <w:t xml:space="preserve">overcame</w:t>
      </w:r>
      <w:r>
        <w:rPr/>
        <w:t xml:space="preserve"> </w:t>
      </w:r>
      <w:r>
        <w:rPr>
          <w:rStyle w:val="FootnoteReference"/>
        </w:rPr>
        <w:footnoteReference w:id="424"/>
      </w:r>
      <w:r>
        <w:rPr/>
        <w:t xml:space="preserve">  him by the </w:t>
      </w:r>
      <w:r>
        <w:rPr>
          <w:b w:val="1"/>
          <w:bCs w:val="1"/>
        </w:rPr>
        <w:t xml:space="preserve">blood of the Lamb</w:t>
      </w:r>
      <w:r>
        <w:rPr/>
        <w:t xml:space="preserve"> </w:t>
      </w:r>
      <w:r>
        <w:rPr>
          <w:rStyle w:val="FootnoteReference"/>
        </w:rPr>
        <w:footnoteReference w:id="425"/>
      </w:r>
      <w:r>
        <w:rPr/>
        <w:t xml:space="preserve"> </w:t>
      </w:r>
      <w:r>
        <w:rPr>
          <w:color w:val="4A6FA5"/>
          <w:sz w:val="18"/>
          <w:szCs w:val="18"/>
        </w:rPr>
        <w:t xml:space="preserve"> (lb</w:t>
      </w:r>
      <w:r>
        <w:rPr>
          <w:rStyle w:val="FootnoteReference"/>
        </w:rPr>
        <w:footnoteReference w:id="426"/>
      </w:r>
      <w:r>
        <w:rPr>
          <w:color w:val="4A6FA5"/>
          <w:sz w:val="18"/>
          <w:szCs w:val="18"/>
        </w:rPr>
        <w:t xml:space="preserve">) </w:t>
      </w:r>
      <w:r>
        <w:rPr/>
        <w:t xml:space="preserve">, and by the word of their </w:t>
      </w:r>
      <w:r>
        <w:rPr>
          <w:b w:val="1"/>
          <w:bCs w:val="1"/>
        </w:rPr>
        <w:t xml:space="preserve">testimony</w:t>
      </w:r>
      <w:r>
        <w:rPr/>
        <w:t xml:space="preserve"> </w:t>
      </w:r>
      <w:r>
        <w:rPr>
          <w:rStyle w:val="FootnoteReference"/>
        </w:rPr>
        <w:footnoteReference w:id="427"/>
      </w:r>
      <w:r>
        <w:rPr/>
        <w:t xml:space="preserve">; and they loved not their lives unto the death.</w:t>
      </w:r>
    </w:p>
    <w:p>
      <w:pPr>
        <w:jc w:val="left"/>
        <w:ind w:left="360" w:right="0" w:firstLine="0" w:hanging="0"/>
        <w:spacing w:after="60"/>
      </w:pPr>
      <w:r>
        <w:rPr>
          <w:sz w:val="18"/>
          <w:szCs w:val="18"/>
          <w:i w:val="1"/>
          <w:iCs w:val="1"/>
        </w:rPr>
        <w:t xml:space="preserve">[fn] The statement “they loved not their lives unto the death” (Rev 12:11) clearly points to martyrdom. The call to “rejoice, ye heavens, and ye that dwell in them” (12:12) includes the heavenly host and may also include these faithful ones now present in heaven. While Revelation 12:10–12 does not explicitly state resurrection, the connection with Revelation 7:10 and 19:1 strengthens the possibility. All three passages share the word σωτηρία (sōtēria, salvation/deliverance), and these are the only occurrences of the term in Revelation. In 7:10 the great multitude before the throne cries, “Salvation to our God,” in 12:10 heaven proclaims, “Now is come salvation,” and in 19:1 the great multitude in heaven again cries, “Alleluia; Salvation…” This repeated language suggests a deliberate thematic unity. Therefore, resurrection should not be derived from Revelation 12:10–12 alone, but the shared language and imagery across these three passages make it a reasonable inference that the overcomers who died are now seen in heavenly victory.</w:t>
      </w:r>
    </w:p>
    <w:p>
      <w:pPr>
        <w:jc w:val="left"/>
        <w:ind w:left="360" w:right="0" w:firstLine="0" w:hanging="0"/>
        <w:spacing w:after="60"/>
      </w:pPr>
      <w:r>
        <w:rPr>
          <w:sz w:val="18"/>
          <w:szCs w:val="18"/>
          <w:i w:val="1"/>
          <w:iCs w:val="1"/>
        </w:rPr>
        <w:t xml:space="preserve">[fn] These are said to have “overcome” (νικάω). Throughout Revelation, those who overcome are consistently linked to the promises Jesus gave to the seven churches. This places this group of saints—who have died—as those now able to realize those promises, having indeed “overcome.” For example, Revelation 3:12 states, “Him that overcometh will I make a pillar in the temple of my God, and he shall go no more out” (KJV). Accordingly, this suggests that this group is no longer going out—that is, they are presently in heaven.
In Revelation 15:2, we see another group explicitly identified as overcomers, and they are clearly depicted in heaven. The saints in Revelation 12:11 and those in 15:2 are the only groups described as having directly “overcome” at a distinct moment. Moreover, their overcoming is closely related: the saints in 12:11 overcome the dragon, while those in 15:2 overcome the beast. Given this parallel, it is reasonable to suggest that the saints in 12:11 are likewise present in heaven for this reason as well.</w:t>
      </w:r>
    </w:p>
    <w:p>
      <w:pPr>
        <w:jc w:val="left"/>
        <w:ind w:left="360" w:right="0" w:firstLine="0" w:hanging="0"/>
        <w:spacing w:after="60"/>
      </w:pPr>
      <w:r>
        <w:rPr>
          <w:sz w:val="18"/>
          <w:szCs w:val="18"/>
          <w:i w:val="1"/>
          <w:iCs w:val="1"/>
        </w:rPr>
        <w:t xml:space="preserve">[fn] Some theologians suggest that what is often called “the rapture” occurs near the sixth seal. However, this raises a difficulty in the sequence of events Revelation presents because a resurrection must accompany a “rapture” in the kind that Paul presents (1 Thessalonians 4:16). Revelation only gives two options for resurrections: Revelation 12:11 or 20:4. So, can either of these be a required resurrection for a 6th seal “rapture”?
Revelation 12:11: The timing of this resurrection appears to imply it occurs **before** “the abomination of desolation” (Matt 24:15). Jesus places the desolation before the coming of the Son of Man “in the clouds.” (Matthew 24:30) If a resurrection is in view in Revelation 12:11, and if the abomination of desolation does not appear until the rise of the sea beast (Rev 13), how could this group of “overcomers” (12:11) represent such a resurrection if that “rapture” is understood to occur after that desolation? It does not.
Revelation 20:4: If Revelation 12:11 is not describing a resurrection, then the next clear point at which a resurrection occurs is in Revelation 20:4, which happens after the sea beast is cast into the lake of fire. This resurrection is after the desolation Jesus describes, which fits so far. Yet the sea beast is cast into the lake of fire well after the scene of the Son of Man coming on the clouds in Revelation 14:14–16 which corresponds to Matthew 24:30. A resurrection then for “the rapture” in Revelation 20:4 then breaks the sequents of events much worse then one of Revelation 12:11 because Revelation 14:14–16 places the living being reaped before the resurection in Revelation 20:4.
Consequently, Revelation does not present an obvious resurrection event that aligns with placing “the rapture” at the sixth seal, as Jesus and Paul describe. To maintain that view, a sixth seal “rapture”, one must assume either that a resurrection occurs at that point without being explicitly described, or that the “rapture” is being understood apart from a resurrection clearly outlined in the text.
So, the text of Revelation presents no option for a 6th-seal “rapture” as described by both Jesus and Paul. Either Revelation does not mention the required resurrection (Revelation 7:9-17 does not suggest a resurrection in the same explicit terms as Revelation 12:11 and Revelation 20:4) for a 6th-seal “rapture,” or there is a fundamental issue in assuming Paul and Jesus are talking about the same event.</w:t>
      </w:r>
    </w:p>
    <w:p>
      <w:pPr>
        <w:jc w:val="left"/>
        <w:ind w:left="360" w:right="0" w:firstLine="0" w:hanging="0"/>
        <w:spacing w:after="60"/>
      </w:pPr>
      <w:r>
        <w:rPr>
          <w:sz w:val="18"/>
          <w:szCs w:val="18"/>
          <w:i w:val="1"/>
          <w:iCs w:val="1"/>
        </w:rPr>
        <w:t xml:space="preserve">[fn] If this verse is placed near the middle of the tribulation and is taken to describe a resurrection of the dead, it creates an awkward sequence. It would place a resurrection prior to the period in which the sea beast wages war against the saints and kills many of them. This presents a difficulty, since it would imply a resurrection of the dead followed immediately by a widespread martyrdom of the saints, an order that seems out of step with the broader flow of the narrative.</w:t>
      </w:r>
    </w:p>
    <w:p>
      <w:pPr>
        <w:spacing w:after="150"/>
      </w:pPr>
      <w:r>
        <w:rPr/>
        <w:t xml:space="preserve"/>
      </w:r>
    </w:p>
    <w:p>
      <w:pPr>
        <w:pStyle w:val="Heading3"/>
      </w:pPr>
      <w:bookmarkStart w:id="58" w:name="_Toc58"/>
      <w:r>
        <w:t>Satan's Wrath Starts within 1260 Days</w:t>
      </w:r>
      <w:bookmarkEnd w:id="58"/>
    </w:p>
    <w:p>
      <w:pPr>
        <w:pStyle w:val="SectionBody"/>
      </w:pPr>
      <w:r>
        <w:rPr>
          <w:b w:val="1"/>
          <w:bCs w:val="1"/>
        </w:rPr>
        <w:t xml:space="preserve">Important Note</w:t>
      </w:r>
      <w:r>
        <w:rPr/>
        <w:t xml:space="preserve">: The timing of this war appears to be near the start of the 1260 days, and because Satan is cast down at the time "salvation" is declared (given the pattern of placing salvation near the start of the 7 years), it seems the war in heaven does not last long, likely ending within the day it takes place.</w:t>
      </w:r>
    </w:p>
    <w:p>
      <w:pPr>
        <w:spacing w:after="150"/>
      </w:pPr>
      <w:r>
        <w:rPr/>
        <w:t xml:space="preserve"/>
      </w:r>
    </w:p>
    <w:p>
      <w:pPr>
        <w:pStyle w:val="BodyVerse"/>
      </w:pPr>
      <w:r>
        <w:rPr>
          <w:b w:val="1"/>
          <w:bCs w:val="1"/>
        </w:rPr>
        <w:t xml:space="preserve">[[@Bible:Re 12:12]] </w:t>
      </w:r>
      <w:r>
        <w:rPr>
          <w:sz w:val="22"/>
          <w:szCs w:val="22"/>
          <w:b w:val="1"/>
          <w:bCs w:val="1"/>
          <w:vertAlign w:val="superscript"/>
        </w:rPr>
        <w:t xml:space="preserve">12  </w:t>
      </w:r>
      <w:r>
        <w:rPr/>
        <w:t xml:space="preserve">Therefore </w:t>
      </w:r>
      <w:r>
        <w:rPr>
          <w:b w:val="1"/>
          <w:bCs w:val="1"/>
        </w:rPr>
        <w:t xml:space="preserve">rejoice</w:t>
      </w:r>
      <w:r>
        <w:rPr/>
        <w:t xml:space="preserve"> </w:t>
      </w:r>
      <w:r>
        <w:rPr>
          <w:rStyle w:val="FootnoteReference"/>
        </w:rPr>
        <w:footnoteReference w:id="428"/>
      </w:r>
      <w:r>
        <w:rPr/>
        <w:t xml:space="preserve"> </w:t>
      </w:r>
      <w:r>
        <w:rPr>
          <w:rStyle w:val="FootnoteReference"/>
        </w:rPr>
        <w:footnoteReference w:id="429"/>
      </w:r>
      <w:r>
        <w:rPr/>
        <w:t xml:space="preserve">, O heavens, and all you who dwell in them. Woe to the inhabitants of the earth and of the sea! For the devil is come down unto you, having great wrath, because he knows that </w:t>
      </w:r>
      <w:r>
        <w:rPr>
          <w:b w:val="1"/>
          <w:bCs w:val="1"/>
        </w:rPr>
        <w:t xml:space="preserve">he has but a little time</w:t>
      </w:r>
      <w:r>
        <w:rPr/>
        <w:t xml:space="preserve">. </w:t>
      </w:r>
      <w:r>
        <w:rPr>
          <w:color w:val="4A6FA5"/>
          <w:sz w:val="18"/>
          <w:szCs w:val="18"/>
        </w:rPr>
        <w:t xml:space="preserve"> (dl</w:t>
      </w:r>
      <w:r>
        <w:rPr>
          <w:rStyle w:val="FootnoteReference"/>
        </w:rPr>
        <w:footnoteReference w:id="430"/>
      </w:r>
      <w:r>
        <w:rPr>
          <w:color w:val="4A6FA5"/>
          <w:sz w:val="18"/>
          <w:szCs w:val="18"/>
        </w:rPr>
        <w:t xml:space="preserve">) </w:t>
      </w:r>
    </w:p>
    <w:p>
      <w:pPr>
        <w:pStyle w:val="BodyVerse"/>
      </w:pPr>
      <w:r>
        <w:rPr>
          <w:b w:val="1"/>
          <w:bCs w:val="1"/>
        </w:rPr>
        <w:t xml:space="preserve">[[@Bible:Re 12:13]] </w:t>
      </w:r>
      <w:r>
        <w:rPr>
          <w:sz w:val="22"/>
          <w:szCs w:val="22"/>
          <w:b w:val="1"/>
          <w:bCs w:val="1"/>
          <w:vertAlign w:val="superscript"/>
        </w:rPr>
        <w:t xml:space="preserve">13  </w:t>
      </w:r>
      <w:r>
        <w:rPr/>
        <w:t xml:space="preserve">And when the dragon saw that he was </w:t>
      </w:r>
      <w:r>
        <w:rPr>
          <w:b w:val="1"/>
          <w:bCs w:val="1"/>
        </w:rPr>
        <w:t xml:space="preserve">cast unto the earth</w:t>
      </w:r>
      <w:r>
        <w:rPr/>
        <w:t xml:space="preserve"> </w:t>
      </w:r>
      <w:r>
        <w:rPr>
          <w:rStyle w:val="FootnoteReference"/>
        </w:rPr>
        <w:footnoteReference w:id="431"/>
      </w:r>
      <w:r>
        <w:rPr/>
        <w:t xml:space="preserve">, he persecuted the woman who brought forth the man child.</w:t>
      </w:r>
    </w:p>
    <w:p>
      <w:pPr>
        <w:spacing w:after="150"/>
      </w:pPr>
      <w:r>
        <w:rPr/>
        <w:t xml:space="preserve"/>
      </w:r>
    </w:p>
    <w:p>
      <w:pPr>
        <w:pStyle w:val="Heading3"/>
      </w:pPr>
      <w:bookmarkStart w:id="59" w:name="_Toc59"/>
      <w:r>
        <w:t>Eagle Wings, and "A Time, and Times, and Half a Time"</w:t>
      </w:r>
      <w:bookmarkEnd w:id="59"/>
    </w:p>
    <w:p>
      <w:pPr>
        <w:pStyle w:val="SectionBody"/>
      </w:pPr>
      <w:r>
        <w:rPr>
          <w:b w:val="1"/>
          <w:bCs w:val="1"/>
        </w:rPr>
        <w:t xml:space="preserve">Important Note:</w:t>
      </w:r>
      <w:r>
        <w:rPr/>
        <w:t xml:space="preserve"> The "a time, and times, and half a time" should not be conflated with 3.5 years, 1260 days, or any day or month count. Scripture is making it very clear that this "a time, and times, and half a time" is not specific in its timing. So, it cannot be converted to a specific time frame, like 1260 days. Remember, the exact time of the 7th trumpet is at an hour no one can know (Matthew 24:42); thus, the end of the "a time, and times, and half a time" will mark that time, but we are not giving the day count, so it will indeed be like a thief.</w:t>
      </w:r>
    </w:p>
    <w:p>
      <w:pPr>
        <w:pStyle w:val="SectionBody"/>
      </w:pPr>
      <w:r>
        <w:rPr/>
        <w:t xml:space="preserve">Also, the text makes it clear that the woman goes into the wilderness twice. Not just once. It might appear that 12:6 and 12:14 are the same event, but their details are very distinct, and 1260 would not be conflated with "a time, and times, and half a time". Yes, these two events seem extremely similar, but Revelation is extremely particular and requires great attention to detail. She flees twice and is fed twice in the wilderness twice.</w:t>
      </w:r>
    </w:p>
    <w:p>
      <w:pPr>
        <w:spacing w:after="150"/>
      </w:pPr>
      <w:r>
        <w:rPr/>
        <w:t xml:space="preserve"/>
      </w:r>
    </w:p>
    <w:p>
      <w:pPr>
        <w:pStyle w:val="BodyVerse"/>
      </w:pPr>
      <w:r>
        <w:rPr>
          <w:b w:val="1"/>
          <w:bCs w:val="1"/>
        </w:rPr>
        <w:t xml:space="preserve">[[@Bible:Re 12:14]] </w:t>
      </w:r>
      <w:r>
        <w:rPr>
          <w:sz w:val="22"/>
          <w:szCs w:val="22"/>
          <w:b w:val="1"/>
          <w:bCs w:val="1"/>
          <w:vertAlign w:val="superscript"/>
        </w:rPr>
        <w:t xml:space="preserve">14  </w:t>
      </w:r>
      <w:r>
        <w:rPr/>
        <w:t xml:space="preserve">And to the woman were given two </w:t>
      </w:r>
      <w:r>
        <w:rPr>
          <w:b w:val="1"/>
          <w:bCs w:val="1"/>
        </w:rPr>
        <w:t xml:space="preserve">wings of a great eagle</w:t>
      </w:r>
      <w:r>
        <w:rPr/>
        <w:t xml:space="preserve"> </w:t>
      </w:r>
      <w:r>
        <w:rPr>
          <w:rStyle w:val="FootnoteReference"/>
        </w:rPr>
        <w:footnoteReference w:id="432"/>
      </w:r>
      <w:r>
        <w:rPr/>
        <w:t xml:space="preserve">, that </w:t>
      </w:r>
      <w:r>
        <w:rPr>
          <w:b w:val="1"/>
          <w:bCs w:val="1"/>
        </w:rPr>
        <w:t xml:space="preserve">she might fly</w:t>
      </w:r>
      <w:r>
        <w:rPr/>
        <w:t xml:space="preserve"> </w:t>
      </w:r>
      <w:r>
        <w:rPr>
          <w:color w:val="4A6FA5"/>
          <w:sz w:val="18"/>
          <w:szCs w:val="18"/>
        </w:rPr>
        <w:t xml:space="preserve"> (ew</w:t>
      </w:r>
      <w:r>
        <w:rPr>
          <w:rStyle w:val="FootnoteReference"/>
        </w:rPr>
        <w:footnoteReference w:id="433"/>
      </w:r>
      <w:r>
        <w:rPr>
          <w:color w:val="4A6FA5"/>
          <w:sz w:val="18"/>
          <w:szCs w:val="18"/>
        </w:rPr>
        <w:t xml:space="preserve">) </w:t>
      </w:r>
      <w:r>
        <w:rPr/>
        <w:t xml:space="preserve"> into the wilderness, into her place, where she is nourished for a </w:t>
      </w:r>
      <w:r>
        <w:rPr>
          <w:b w:val="1"/>
          <w:bCs w:val="1"/>
        </w:rPr>
        <w:t xml:space="preserve">time, and times, and half a time</w:t>
      </w:r>
      <w:r>
        <w:rPr/>
        <w:t xml:space="preserve"> </w:t>
      </w:r>
      <w:r>
        <w:rPr>
          <w:color w:val="4A6FA5"/>
          <w:sz w:val="18"/>
          <w:szCs w:val="18"/>
        </w:rPr>
        <w:t xml:space="preserve"> (ls</w:t>
      </w:r>
      <w:r>
        <w:rPr>
          <w:rStyle w:val="FootnoteReference"/>
        </w:rPr>
        <w:footnoteReference w:id="434"/>
      </w:r>
      <w:r>
        <w:rPr>
          <w:color w:val="4A6FA5"/>
          <w:sz w:val="18"/>
          <w:szCs w:val="18"/>
        </w:rPr>
        <w:t xml:space="preserve">) </w:t>
      </w:r>
      <w:r>
        <w:rPr/>
        <w:t xml:space="preserve"> </w:t>
      </w:r>
      <w:r>
        <w:rPr>
          <w:rStyle w:val="FootnoteReference"/>
        </w:rPr>
        <w:footnoteReference w:id="435"/>
      </w:r>
      <w:r>
        <w:rPr/>
        <w:t xml:space="preserve">, from the </w:t>
      </w:r>
      <w:r>
        <w:rPr>
          <w:b w:val="1"/>
          <w:bCs w:val="1"/>
        </w:rPr>
        <w:t xml:space="preserve">face of the serpent</w:t>
      </w:r>
      <w:r>
        <w:rPr/>
        <w:t xml:space="preserve"> </w:t>
      </w:r>
      <w:r>
        <w:rPr>
          <w:rStyle w:val="FootnoteReference"/>
        </w:rPr>
        <w:footnoteReference w:id="436"/>
      </w:r>
      <w:r>
        <w:rPr/>
        <w:t xml:space="preserve">.</w:t>
      </w:r>
    </w:p>
    <w:p>
      <w:pPr>
        <w:jc w:val="left"/>
        <w:ind w:left="360" w:right="0" w:firstLine="0" w:hanging="0"/>
        <w:spacing w:after="60"/>
      </w:pPr>
      <w:r>
        <w:rPr>
          <w:sz w:val="18"/>
          <w:szCs w:val="18"/>
          <w:i w:val="1"/>
          <w:iCs w:val="1"/>
        </w:rPr>
        <w:t xml:space="preserve">[fn] καιρὸν καὶ καιροὺς καὶ ἥμισυ καιροῦ - time, and times, and half a time</w:t>
      </w:r>
    </w:p>
    <w:p>
      <w:pPr>
        <w:pStyle w:val="BodyVerse"/>
      </w:pPr>
      <w:r>
        <w:rPr>
          <w:b w:val="1"/>
          <w:bCs w:val="1"/>
        </w:rPr>
        <w:t xml:space="preserve">[[@Bible:Re 12:15]] </w:t>
      </w:r>
      <w:r>
        <w:rPr>
          <w:sz w:val="22"/>
          <w:szCs w:val="22"/>
          <w:b w:val="1"/>
          <w:bCs w:val="1"/>
          <w:vertAlign w:val="superscript"/>
        </w:rPr>
        <w:t xml:space="preserve">15  </w:t>
      </w:r>
      <w:r>
        <w:rPr/>
        <w:t xml:space="preserve">And the serpent cast out of his mouth water as a river after the woman, that he might cause her to be carried away by the flood.</w:t>
      </w:r>
    </w:p>
    <w:p>
      <w:pPr>
        <w:jc w:val="left"/>
        <w:ind w:left="360" w:right="0" w:firstLine="0" w:hanging="0"/>
        <w:spacing w:after="60"/>
      </w:pPr>
      <w:r>
        <w:rPr>
          <w:sz w:val="18"/>
          <w:szCs w:val="18"/>
          <w:i w:val="1"/>
          <w:iCs w:val="1"/>
        </w:rPr>
        <w:t xml:space="preserve">[fn] The target of attack is the 144,000 of Israel, yet when he cannot get to them, the serpent turns to the other saints, those who will rule for 1000 years, yet not protected in the same way as the 144,000.</w:t>
      </w:r>
    </w:p>
    <w:p>
      <w:pPr>
        <w:pStyle w:val="BodyVerse"/>
      </w:pPr>
      <w:r>
        <w:rPr>
          <w:b w:val="1"/>
          <w:bCs w:val="1"/>
        </w:rPr>
        <w:t xml:space="preserve">[[@Bible:Re 12:16]] </w:t>
      </w:r>
      <w:r>
        <w:rPr>
          <w:sz w:val="22"/>
          <w:szCs w:val="22"/>
          <w:b w:val="1"/>
          <w:bCs w:val="1"/>
          <w:vertAlign w:val="superscript"/>
        </w:rPr>
        <w:t xml:space="preserve">16  </w:t>
      </w:r>
      <w:r>
        <w:rPr/>
        <w:t xml:space="preserve">And the earth helped the woman, and the earth opened her mouth, and swallowed up the river which the dragon cast out of his mouth.</w:t>
      </w:r>
    </w:p>
    <w:p>
      <w:pPr>
        <w:jc w:val="center"/>
        <w:spacing w:before="120" w:after="60"/>
      </w:pPr>
      <w:r>
        <w:rPr>
          <w:sz w:val="36"/>
          <w:szCs w:val="36"/>
          <w:b w:val="1"/>
          <w:bCs w:val="1"/>
        </w:rPr>
        <w:t xml:space="preserve">✶</w:t>
      </w:r>
    </w:p>
    <w:p>
      <w:pPr>
        <w:pStyle w:val="Heading3"/>
      </w:pPr>
      <w:bookmarkStart w:id="60" w:name="_Toc60"/>
      <w:r>
        <w:t>War on Earth: Dragon Turns Toward the Saints</w:t>
      </w:r>
      <w:bookmarkEnd w:id="60"/>
    </w:p>
    <w:p>
      <w:pPr>
        <w:pStyle w:val="SectionBody"/>
      </w:pPr>
      <w:r>
        <w:rPr>
          <w:b w:val="1"/>
          <w:bCs w:val="1"/>
        </w:rPr>
        <w:t xml:space="preserve">Parenthetical Scene 4.1b:</w:t>
      </w:r>
      <w:r>
        <w:rPr/>
        <w:t xml:space="preserve"> As the 144,000 escape his flood, he turns to make war against the other saints.</w:t>
      </w:r>
    </w:p>
    <w:p>
      <w:pPr>
        <w:spacing w:after="150"/>
      </w:pPr>
      <w:r>
        <w:rPr/>
        <w:t xml:space="preserve"/>
      </w:r>
    </w:p>
    <w:p>
      <w:pPr>
        <w:pStyle w:val="BodyVerse"/>
      </w:pPr>
      <w:r>
        <w:rPr>
          <w:b w:val="1"/>
          <w:bCs w:val="1"/>
        </w:rPr>
        <w:t xml:space="preserve">[[@Bible:Re 12:17]] </w:t>
      </w:r>
      <w:r>
        <w:rPr>
          <w:sz w:val="22"/>
          <w:szCs w:val="22"/>
          <w:b w:val="1"/>
          <w:bCs w:val="1"/>
          <w:vertAlign w:val="superscript"/>
        </w:rPr>
        <w:t xml:space="preserve">17  </w:t>
      </w:r>
      <w:r>
        <w:rPr/>
        <w:t xml:space="preserve">And </w:t>
      </w:r>
      <w:r>
        <w:rPr>
          <w:b w:val="1"/>
          <w:bCs w:val="1"/>
        </w:rPr>
        <w:t xml:space="preserve">the dragon was wroth with the woman, and went to make war with the remnant of her seed</w:t>
      </w:r>
      <w:r>
        <w:rPr/>
        <w:t xml:space="preserve"> </w:t>
      </w:r>
      <w:r>
        <w:rPr>
          <w:color w:val="4A6FA5"/>
          <w:sz w:val="18"/>
          <w:szCs w:val="18"/>
        </w:rPr>
        <w:t xml:space="preserve"> (m</w:t>
      </w:r>
      <w:r>
        <w:rPr>
          <w:rStyle w:val="FootnoteReference"/>
        </w:rPr>
        <w:footnoteReference w:id="437"/>
      </w:r>
      <w:r>
        <w:rPr>
          <w:color w:val="4A6FA5"/>
          <w:sz w:val="18"/>
          <w:szCs w:val="18"/>
        </w:rPr>
        <w:t xml:space="preserve">) </w:t>
      </w:r>
      <w:r>
        <w:rPr/>
        <w:t xml:space="preserve">, </w:t>
      </w:r>
      <w:r>
        <w:rPr>
          <w:b w:val="1"/>
          <w:bCs w:val="1"/>
        </w:rPr>
        <w:t xml:space="preserve">who keep the commandments of God</w:t>
      </w:r>
      <w:r>
        <w:rPr/>
        <w:t xml:space="preserve"> </w:t>
      </w:r>
      <w:r>
        <w:rPr>
          <w:rStyle w:val="FootnoteReference"/>
        </w:rPr>
        <w:footnoteReference w:id="438"/>
      </w:r>
      <w:r>
        <w:rPr/>
        <w:t xml:space="preserve"> </w:t>
      </w:r>
      <w:r>
        <w:rPr>
          <w:color w:val="4A6FA5"/>
          <w:sz w:val="18"/>
          <w:szCs w:val="18"/>
        </w:rPr>
        <w:t xml:space="preserve"> (m</w:t>
      </w:r>
      <w:r>
        <w:rPr>
          <w:rStyle w:val="FootnoteReference"/>
        </w:rPr>
        <w:footnoteReference w:id="439"/>
      </w:r>
      <w:r>
        <w:rPr>
          <w:color w:val="4A6FA5"/>
          <w:sz w:val="18"/>
          <w:szCs w:val="18"/>
        </w:rPr>
        <w:t xml:space="preserve">) </w:t>
      </w:r>
      <w:r>
        <w:rPr/>
        <w:t xml:space="preserve">, and have the </w:t>
      </w:r>
      <w:r>
        <w:rPr>
          <w:b w:val="1"/>
          <w:bCs w:val="1"/>
        </w:rPr>
        <w:t xml:space="preserve">testimony of Jesus</w:t>
      </w:r>
      <w:r>
        <w:rPr/>
        <w:t xml:space="preserve"> </w:t>
      </w:r>
      <w:r>
        <w:rPr>
          <w:rStyle w:val="FootnoteReference"/>
        </w:rPr>
        <w:footnoteReference w:id="440"/>
      </w:r>
      <w:r>
        <w:rPr/>
        <w:t xml:space="preserve">.</w:t>
      </w:r>
    </w:p>
    <w:p>
      <w:pPr>
        <w:jc w:val="left"/>
        <w:ind w:left="360" w:right="0" w:firstLine="0" w:hanging="0"/>
        <w:spacing w:after="60"/>
      </w:pPr>
      <w:r>
        <w:rPr>
          <w:sz w:val="18"/>
          <w:szCs w:val="18"/>
          <w:i w:val="1"/>
          <w:iCs w:val="1"/>
        </w:rPr>
        <w:t xml:space="preserve">[fn] Not likely the 144,000 but maybe those like them that remain, the tribulation saints.</w:t>
      </w:r>
    </w:p>
    <w:p>
      <w:pPr>
        <w:jc w:val="center"/>
        <w:spacing w:before="120" w:after="60"/>
      </w:pPr>
      <w:r>
        <w:rPr>
          <w:sz w:val="36"/>
          <w:szCs w:val="36"/>
          <w:b w:val="1"/>
          <w:bCs w:val="1"/>
        </w:rPr>
        <w:t xml:space="preserve">✶</w:t>
      </w:r>
    </w:p>
    <w:p>
      <w:pPr>
        <w:pStyle w:val="Heading3"/>
      </w:pPr>
      <w:bookmarkStart w:id="61" w:name="_Toc61"/>
      <w:r>
        <w:t>Beast 2: The Sea Beast</w:t>
      </w:r>
      <w:bookmarkEnd w:id="61"/>
    </w:p>
    <w:p>
      <w:pPr>
        <w:pStyle w:val="SectionBody"/>
      </w:pPr>
      <w:r>
        <w:rPr>
          <w:b w:val="1"/>
          <w:bCs w:val="1"/>
        </w:rPr>
        <w:t xml:space="preserve">Parenthetical Scene 4.2:</w:t>
      </w:r>
      <w:r>
        <w:rPr/>
        <w:t xml:space="preserve"> This scene could be seen as a sub-parenthetical of parenthetical 4.1b. Furthermore, this parenthetical marks a small shift in theme, making it a new parenthetical within the previous one. This scene follows the appearance of the "time, times, and half time," indicating it is after the 1260 days are completed. This section is connected back to Revelation 12:17, because we see that the Red Dragon is now going to war against "the remnant of her seed," and he will give his power to the Sea Beast, which will make that war.</w:t>
      </w:r>
    </w:p>
    <w:p>
      <w:pPr>
        <w:pStyle w:val="SectionBody"/>
      </w:pPr>
      <w:r>
        <w:rPr>
          <w:b w:val="1"/>
          <w:bCs w:val="1"/>
        </w:rPr>
        <w:t xml:space="preserve">The Sea Beast:</w:t>
      </w:r>
    </w:p>
    <w:p>
      <w:pPr>
        <w:pStyle w:val="SectionBody"/>
      </w:pPr>
      <w:r>
        <w:rPr/>
        <w:t xml:space="preserve">13:1-7, 13:12, 13:14-15, 13:16, 14:13, 16:10, 16:13, 19:19-20, 20:10</w:t>
      </w:r>
    </w:p>
    <w:p>
      <w:pPr>
        <w:pStyle w:val="SectionBody"/>
      </w:pPr>
      <w:r>
        <w:rPr/>
        <w:t xml:space="preserve">The sea beast takes the form of the dragon and is in his likeness, a mirror image. Also, Daniel 7:21 makes it clear that this sea beast is the little horn, not the ten kings, even though it has ten diadems. This beast appears to have the diadems of power. Also, keep in mind that in Daniel, the little-horn uproots three of the ten horns and takes power, thus all 11 of these kings appear at the same time — that is, the 7th king of the seven heads of the dragon and the 10 kings, the horns.</w:t>
      </w:r>
    </w:p>
    <w:p>
      <w:pPr>
        <w:spacing w:after="150"/>
      </w:pPr>
      <w:r>
        <w:rPr/>
        <w:t xml:space="preserve"/>
      </w:r>
    </w:p>
    <w:p>
      <w:pPr>
        <w:pStyle w:val="BodyVerse"/>
      </w:pPr>
      <w:r>
        <w:rPr>
          <w:b w:val="1"/>
          <w:bCs w:val="1"/>
        </w:rPr>
        <w:t xml:space="preserve">[[@Bible:Re 13:1]] </w:t>
      </w:r>
      <w:r>
        <w:rPr>
          <w:sz w:val="22"/>
          <w:szCs w:val="22"/>
          <w:b w:val="1"/>
          <w:bCs w:val="1"/>
          <w:vertAlign w:val="superscript"/>
        </w:rPr>
        <w:t xml:space="preserve">1  </w:t>
      </w:r>
      <w:r>
        <w:rPr/>
        <w:t xml:space="preserve">And he stood upon the sand of the sea. And I saw a beast ascend out of the sea, having ten horns and seven heads, and </w:t>
      </w:r>
      <w:r>
        <w:rPr>
          <w:b w:val="1"/>
          <w:bCs w:val="1"/>
        </w:rPr>
        <w:t xml:space="preserve">ten diadems</w:t>
      </w:r>
      <w:r>
        <w:rPr/>
        <w:t xml:space="preserve">  </w:t>
      </w:r>
      <w:r>
        <w:rPr>
          <w:color w:val="4A6FA5"/>
          <w:sz w:val="18"/>
          <w:szCs w:val="18"/>
        </w:rPr>
        <w:t xml:space="preserve"> (dd</w:t>
      </w:r>
      <w:r>
        <w:rPr>
          <w:rStyle w:val="FootnoteReference"/>
        </w:rPr>
        <w:footnoteReference w:id="441"/>
      </w:r>
      <w:r>
        <w:rPr>
          <w:color w:val="4A6FA5"/>
          <w:sz w:val="18"/>
          <w:szCs w:val="18"/>
        </w:rPr>
        <w:t xml:space="preserve">) </w:t>
      </w:r>
      <w:r>
        <w:rPr/>
        <w:t xml:space="preserve"> </w:t>
      </w:r>
      <w:r>
        <w:rPr>
          <w:b w:val="1"/>
          <w:bCs w:val="1"/>
        </w:rPr>
        <w:t xml:space="preserve">upon his horns</w:t>
      </w:r>
      <w:r>
        <w:rPr/>
        <w:t xml:space="preserve"> </w:t>
      </w:r>
      <w:r>
        <w:rPr>
          <w:rStyle w:val="FootnoteReference"/>
        </w:rPr>
        <w:footnoteReference w:id="442"/>
      </w:r>
      <w:r>
        <w:rPr/>
        <w:t xml:space="preserve">, and upon his heads the </w:t>
      </w:r>
      <w:r>
        <w:rPr>
          <w:b w:val="1"/>
          <w:bCs w:val="1"/>
        </w:rPr>
        <w:t xml:space="preserve">names of blasphemy</w:t>
      </w:r>
      <w:r>
        <w:rPr/>
        <w:t xml:space="preserve"> </w:t>
      </w:r>
      <w:r>
        <w:rPr>
          <w:rStyle w:val="FootnoteReference"/>
        </w:rPr>
        <w:footnoteReference w:id="443"/>
      </w:r>
      <w:r>
        <w:rPr/>
        <w:t xml:space="preserve">.</w:t>
      </w:r>
    </w:p>
    <w:p>
      <w:pPr>
        <w:jc w:val="left"/>
        <w:ind w:left="360" w:right="0" w:firstLine="0" w:hanging="0"/>
        <w:spacing w:after="60"/>
      </w:pPr>
      <w:r>
        <w:rPr>
          <w:sz w:val="18"/>
          <w:szCs w:val="18"/>
          <w:i w:val="1"/>
          <w:iCs w:val="1"/>
        </w:rPr>
        <w:t xml:space="preserve">[fn] ESV omits the stance clause "I stood upon the sand of the sea" and attaches the standing to the dragon in 12:18: "he stood on the sand of the sea".This translation difference from the KJV is due to differences among early manuscripts and to the ESV's use of the critical text based on those manuscripts. Based on the unbroken message about the three beasts, it seems very unlikely that it is John who stands on the sea.</w:t>
      </w:r>
    </w:p>
    <w:p>
      <w:pPr>
        <w:jc w:val="left"/>
        <w:ind w:left="360" w:right="0" w:firstLine="0" w:hanging="0"/>
        <w:spacing w:after="60"/>
      </w:pPr>
      <w:r>
        <w:rPr>
          <w:sz w:val="18"/>
          <w:szCs w:val="18"/>
          <w:i w:val="1"/>
          <w:iCs w:val="1"/>
        </w:rPr>
        <w:t xml:space="preserve">[fn] Compare Revelation 13:1 with Revelation 17. In chapter 17, the ten kings act together, yet remain ten distinct individuals. They are identified with the ten horns of the dragon, not themselves being a beast as a whole.
In Revelation 13, however, the sea beast is presented as a single authority bearing ten crowns. This points not to ten rulers in unity, but to one ruler holding their authority.
At most, this suggests the sea beast has taken the crowns of the ten kings and now rules over the kings of the earth—including those ten—consistent with Daniel 7, where the little horn rises and subdues three. Thus, the beast possesses the combined authority of those before him.
This does not mean the ten kings cease to function; they may still operate under his authority. However, the emphasis in Revelation 13 is on a single individual exercising dominion and speaking with authority.</w:t>
      </w:r>
    </w:p>
    <w:p>
      <w:pPr>
        <w:pStyle w:val="BodyVerse"/>
      </w:pPr>
      <w:r>
        <w:rPr>
          <w:b w:val="1"/>
          <w:bCs w:val="1"/>
        </w:rPr>
        <w:t xml:space="preserve">[[@Bible:Re 13:2]] </w:t>
      </w:r>
      <w:r>
        <w:rPr>
          <w:sz w:val="22"/>
          <w:szCs w:val="22"/>
          <w:b w:val="1"/>
          <w:bCs w:val="1"/>
          <w:vertAlign w:val="superscript"/>
        </w:rPr>
        <w:t xml:space="preserve">2  </w:t>
      </w:r>
      <w:r>
        <w:rPr/>
        <w:t xml:space="preserve">And the beast which I saw was like unto a leopard, and his feet were as the feet of a bear, and his mouth as the mouth of a lion: and the dragon gave him his might, and his </w:t>
      </w:r>
      <w:r>
        <w:rPr>
          <w:b w:val="1"/>
          <w:bCs w:val="1"/>
        </w:rPr>
        <w:t xml:space="preserve">throne</w:t>
      </w:r>
      <w:r>
        <w:rPr/>
        <w:t xml:space="preserve"> </w:t>
      </w:r>
      <w:r>
        <w:rPr>
          <w:rStyle w:val="FootnoteReference"/>
        </w:rPr>
        <w:footnoteReference w:id="444"/>
      </w:r>
      <w:r>
        <w:rPr/>
        <w:t xml:space="preserve">, and great power.</w:t>
      </w:r>
    </w:p>
    <w:p>
      <w:pPr>
        <w:jc w:val="left"/>
        <w:ind w:left="360" w:right="0" w:firstLine="0" w:hanging="0"/>
        <w:spacing w:after="60"/>
      </w:pPr>
      <w:r>
        <w:rPr>
          <w:sz w:val="18"/>
          <w:szCs w:val="18"/>
          <w:i w:val="1"/>
          <w:iCs w:val="1"/>
        </w:rPr>
        <w:t xml:space="preserve">[fn] Greek is θρονον which is also "throne".</w:t>
      </w:r>
    </w:p>
    <w:p>
      <w:pPr>
        <w:pStyle w:val="BodyVerse"/>
      </w:pPr>
      <w:r>
        <w:rPr>
          <w:b w:val="1"/>
          <w:bCs w:val="1"/>
        </w:rPr>
        <w:t xml:space="preserve">[[@Bible:Re 13:3]] </w:t>
      </w:r>
      <w:r>
        <w:rPr>
          <w:sz w:val="22"/>
          <w:szCs w:val="22"/>
          <w:b w:val="1"/>
          <w:bCs w:val="1"/>
          <w:vertAlign w:val="superscript"/>
        </w:rPr>
        <w:t xml:space="preserve">3  </w:t>
      </w:r>
      <w:r>
        <w:rPr/>
        <w:t xml:space="preserve">And I saw one of his heads as it were wounded to death; and his </w:t>
      </w:r>
      <w:r>
        <w:rPr>
          <w:b w:val="1"/>
          <w:bCs w:val="1"/>
        </w:rPr>
        <w:t xml:space="preserve">deadly wound was healed</w:t>
      </w:r>
      <w:r>
        <w:rPr/>
        <w:t xml:space="preserve"> </w:t>
      </w:r>
      <w:r>
        <w:rPr>
          <w:rStyle w:val="FootnoteReference"/>
        </w:rPr>
        <w:footnoteReference w:id="445"/>
      </w:r>
      <w:r>
        <w:rPr/>
        <w:t xml:space="preserve">: and all the world wondered after the beast.</w:t>
      </w:r>
    </w:p>
    <w:p>
      <w:pPr>
        <w:jc w:val="left"/>
        <w:ind w:left="360" w:right="0" w:firstLine="0" w:hanging="0"/>
        <w:spacing w:after="60"/>
      </w:pPr>
      <w:r>
        <w:rPr>
          <w:sz w:val="18"/>
          <w:szCs w:val="18"/>
          <w:i w:val="1"/>
          <w:iCs w:val="1"/>
        </w:rPr>
        <w:t xml:space="preserve">[fn] He does not die; it was only deadly, but did not kill. In the ESV, "seemed to have a mortal wound".</w:t>
      </w:r>
    </w:p>
    <w:p>
      <w:pPr>
        <w:jc w:val="left"/>
        <w:ind w:left="360" w:right="0" w:firstLine="0" w:hanging="0"/>
        <w:spacing w:after="60"/>
      </w:pPr>
      <w:r>
        <w:rPr>
          <w:sz w:val="18"/>
          <w:szCs w:val="18"/>
          <w:i w:val="1"/>
          <w:iCs w:val="1"/>
        </w:rPr>
        <w:t xml:space="preserve">[fn] The phrase "I saw one of his heads" is referring to the sea beast and not the dragon.</w:t>
      </w:r>
    </w:p>
    <w:p>
      <w:pPr>
        <w:spacing w:after="150"/>
      </w:pPr>
      <w:r>
        <w:rPr/>
        <w:t xml:space="preserve"/>
      </w:r>
    </w:p>
    <w:p>
      <w:pPr>
        <w:pStyle w:val="Heading3"/>
      </w:pPr>
      <w:bookmarkStart w:id="62" w:name="_Toc62"/>
      <w:r>
        <w:t>Dragon and Beast Worshiped</w:t>
      </w:r>
      <w:bookmarkEnd w:id="62"/>
    </w:p>
    <w:p>
      <w:pPr>
        <w:pStyle w:val="SectionBody"/>
      </w:pPr>
      <w:r>
        <w:rPr>
          <w:b w:val="1"/>
          <w:bCs w:val="1"/>
        </w:rPr>
        <w:t xml:space="preserve">Important Note:</w:t>
      </w:r>
      <w:r>
        <w:rPr/>
        <w:t xml:space="preserve"> The placement of the statement is important; it comes before the saints are told to be patient. As we will see in Revelation 14, the worship of the beast comes before the patience of the saints. And we see that same order here, even though we see how that works with the Earth Beast in a moment.</w:t>
      </w:r>
    </w:p>
    <w:p>
      <w:pPr>
        <w:spacing w:after="150"/>
      </w:pPr>
      <w:r>
        <w:rPr/>
        <w:t xml:space="preserve"/>
      </w:r>
    </w:p>
    <w:p>
      <w:pPr>
        <w:pStyle w:val="BodyVerse"/>
      </w:pPr>
      <w:r>
        <w:rPr>
          <w:b w:val="1"/>
          <w:bCs w:val="1"/>
        </w:rPr>
        <w:t xml:space="preserve">[[@Bible:Re 13:4]] </w:t>
      </w:r>
      <w:r>
        <w:rPr>
          <w:sz w:val="22"/>
          <w:szCs w:val="22"/>
          <w:b w:val="1"/>
          <w:bCs w:val="1"/>
          <w:vertAlign w:val="superscript"/>
        </w:rPr>
        <w:t xml:space="preserve">4  </w:t>
      </w:r>
      <w:r>
        <w:rPr/>
        <w:t xml:space="preserve">And they worshipped the dragon which gave </w:t>
      </w:r>
      <w:r>
        <w:rPr>
          <w:b w:val="1"/>
          <w:bCs w:val="1"/>
        </w:rPr>
        <w:t xml:space="preserve">power unto the beast</w:t>
      </w:r>
      <w:r>
        <w:rPr/>
        <w:t xml:space="preserve"> </w:t>
      </w:r>
      <w:r>
        <w:rPr>
          <w:rStyle w:val="FootnoteReference"/>
        </w:rPr>
        <w:footnoteReference w:id="446"/>
      </w:r>
      <w:r>
        <w:rPr/>
        <w:t xml:space="preserve">: and they </w:t>
      </w:r>
      <w:r>
        <w:rPr>
          <w:b w:val="1"/>
          <w:bCs w:val="1"/>
        </w:rPr>
        <w:t xml:space="preserve">worshipped the beast</w:t>
      </w:r>
      <w:r>
        <w:rPr/>
        <w:t xml:space="preserve"> </w:t>
      </w:r>
      <w:r>
        <w:rPr>
          <w:color w:val="4A6FA5"/>
          <w:sz w:val="18"/>
          <w:szCs w:val="18"/>
        </w:rPr>
        <w:t xml:space="preserve"> (wb</w:t>
      </w:r>
      <w:r>
        <w:rPr>
          <w:rStyle w:val="FootnoteReference"/>
        </w:rPr>
        <w:footnoteReference w:id="447"/>
      </w:r>
      <w:r>
        <w:rPr>
          <w:color w:val="4A6FA5"/>
          <w:sz w:val="18"/>
          <w:szCs w:val="18"/>
        </w:rPr>
        <w:t xml:space="preserve">) </w:t>
      </w:r>
      <w:r>
        <w:rPr/>
        <w:t xml:space="preserve">, saying, Who is like unto the beast? Who is able to make war with him?</w:t>
      </w:r>
    </w:p>
    <w:p>
      <w:pPr>
        <w:spacing w:after="150"/>
      </w:pPr>
      <w:r>
        <w:rPr/>
        <w:t xml:space="preserve"/>
      </w:r>
    </w:p>
    <w:p>
      <w:pPr>
        <w:pStyle w:val="Heading3"/>
      </w:pPr>
      <w:bookmarkStart w:id="63" w:name="_Toc63"/>
      <w:r>
        <w:t>Second 42 Gentile Months</w:t>
      </w:r>
      <w:bookmarkEnd w:id="63"/>
    </w:p>
    <w:p>
      <w:pPr>
        <w:pStyle w:val="SectionBody"/>
      </w:pPr>
      <w:r>
        <w:rPr>
          <w:b w:val="1"/>
          <w:bCs w:val="1"/>
        </w:rPr>
        <w:t xml:space="preserve">Important Note:</w:t>
      </w:r>
      <w:r>
        <w:rPr/>
        <w:t xml:space="preserve"> A personal assertion, Sea beast is Gentile, as marked by his "42 months" (42 months being the time count for any Gentile activity). It also comes after we see the "time, times, and half time" from Revelation 12:14. Thus, another connection to the last half of the tribulation.</w:t>
      </w:r>
    </w:p>
    <w:p>
      <w:pPr>
        <w:spacing w:after="150"/>
      </w:pPr>
      <w:r>
        <w:rPr/>
        <w:t xml:space="preserve"/>
      </w:r>
    </w:p>
    <w:p>
      <w:pPr>
        <w:pStyle w:val="BodyVerse"/>
      </w:pPr>
      <w:r>
        <w:rPr>
          <w:b w:val="1"/>
          <w:bCs w:val="1"/>
        </w:rPr>
        <w:t xml:space="preserve">[[@Bible:Re 13:5]] </w:t>
      </w:r>
      <w:r>
        <w:rPr>
          <w:sz w:val="22"/>
          <w:szCs w:val="22"/>
          <w:b w:val="1"/>
          <w:bCs w:val="1"/>
          <w:vertAlign w:val="superscript"/>
        </w:rPr>
        <w:t xml:space="preserve">5  </w:t>
      </w:r>
      <w:r>
        <w:rPr/>
        <w:t xml:space="preserve">And there was given unto him a mouth speaking great things and blasphemies </w:t>
      </w:r>
      <w:r>
        <w:rPr>
          <w:rStyle w:val="FootnoteReference"/>
        </w:rPr>
        <w:footnoteReference w:id="448"/>
      </w:r>
      <w:r>
        <w:rPr/>
        <w:t xml:space="preserve">; and power was given unto him to act </w:t>
      </w:r>
      <w:r>
        <w:rPr>
          <w:b w:val="1"/>
          <w:bCs w:val="1"/>
        </w:rPr>
        <w:t xml:space="preserve">forty and two months</w:t>
      </w:r>
      <w:r>
        <w:rPr/>
        <w:t xml:space="preserve"> </w:t>
      </w:r>
      <w:r>
        <w:rPr>
          <w:color w:val="4A6FA5"/>
          <w:sz w:val="18"/>
          <w:szCs w:val="18"/>
        </w:rPr>
        <w:t xml:space="preserve"> (42</w:t>
      </w:r>
      <w:r>
        <w:rPr>
          <w:rStyle w:val="FootnoteReference"/>
        </w:rPr>
        <w:footnoteReference w:id="449"/>
      </w:r>
      <w:r>
        <w:rPr>
          <w:color w:val="4A6FA5"/>
          <w:sz w:val="18"/>
          <w:szCs w:val="18"/>
        </w:rPr>
        <w:t xml:space="preserve">) </w:t>
      </w:r>
      <w:r>
        <w:rPr/>
        <w:t xml:space="preserve"> </w:t>
      </w:r>
      <w:r>
        <w:rPr>
          <w:rStyle w:val="FootnoteReference"/>
        </w:rPr>
        <w:footnoteReference w:id="450"/>
      </w:r>
      <w:r>
        <w:rPr/>
        <w:t xml:space="preserve">.</w:t>
      </w:r>
    </w:p>
    <w:p>
      <w:pPr>
        <w:jc w:val="left"/>
        <w:ind w:left="360" w:right="0" w:firstLine="0" w:hanging="0"/>
        <w:spacing w:after="60"/>
      </w:pPr>
      <w:r>
        <w:rPr>
          <w:sz w:val="18"/>
          <w:szCs w:val="18"/>
          <w:i w:val="1"/>
          <w:iCs w:val="1"/>
        </w:rPr>
        <w:t xml:space="preserve">[fn] The phrase "power was given unto him to **act**" in this text differs from the KJV, which renders "power was given unto him to **continue**". The word "continue" in the KJV does not need to be understood as continuing from a prior period, because the Greek verb ποιησαι (to do, make, practice, produce, a generic term of action or performance) does not carry that meaning intrinsically. While the text does not grammatically assert an extension from an earlier point in time, neither does it contradict such a reading when considered within the broader narrative context. The verb itself simply expresses permitted activity across a defined duration; any sense of continuation from an earlier phase must come from contextual synthesis, not from this clause directly. We find possible grounds for this in Revelation 11:2. So it is not impossible to think of this as the gentile power continuing for another 42 months to complete 84 months of rule, which is 7 years and matches the prophetic 70th week in Daniel 9:24-27, found in verse 27.</w:t>
      </w:r>
    </w:p>
    <w:p>
      <w:pPr>
        <w:pStyle w:val="BodyVerse"/>
      </w:pPr>
      <w:r>
        <w:rPr>
          <w:b w:val="1"/>
          <w:bCs w:val="1"/>
        </w:rPr>
        <w:t xml:space="preserve">[[@Bible:Re 13:6]] </w:t>
      </w:r>
      <w:r>
        <w:rPr>
          <w:sz w:val="22"/>
          <w:szCs w:val="22"/>
          <w:b w:val="1"/>
          <w:bCs w:val="1"/>
          <w:vertAlign w:val="superscript"/>
        </w:rPr>
        <w:t xml:space="preserve">6  </w:t>
      </w:r>
      <w:r>
        <w:rPr/>
        <w:t xml:space="preserve">And he opened his mouth in blasphemy against God, to blaspheme his name, and </w:t>
      </w:r>
      <w:r>
        <w:rPr>
          <w:b w:val="1"/>
          <w:bCs w:val="1"/>
        </w:rPr>
        <w:t xml:space="preserve">his tabernacle</w:t>
      </w:r>
      <w:r>
        <w:rPr/>
        <w:t xml:space="preserve"> </w:t>
      </w:r>
      <w:r>
        <w:rPr>
          <w:rStyle w:val="FootnoteReference"/>
        </w:rPr>
        <w:footnoteReference w:id="451"/>
      </w:r>
      <w:r>
        <w:rPr/>
        <w:t xml:space="preserve">, </w:t>
      </w:r>
      <w:r>
        <w:rPr>
          <w:i w:val="1"/>
          <w:iCs w:val="1"/>
        </w:rPr>
        <w:t xml:space="preserve">[and]</w:t>
      </w:r>
      <w:r>
        <w:rPr/>
        <w:t xml:space="preserve"> those who dwell in heaven. </w:t>
      </w:r>
      <w:r>
        <w:rPr>
          <w:rStyle w:val="FootnoteReference"/>
        </w:rPr>
        <w:footnoteReference w:id="452"/>
      </w:r>
    </w:p>
    <w:p>
      <w:pPr>
        <w:jc w:val="left"/>
        <w:ind w:left="360" w:right="0" w:firstLine="0" w:hanging="0"/>
        <w:spacing w:after="60"/>
      </w:pPr>
      <w:r>
        <w:rPr>
          <w:sz w:val="18"/>
          <w:szCs w:val="18"/>
          <w:i w:val="1"/>
          <w:iCs w:val="1"/>
        </w:rPr>
        <w:t xml:space="preserve">[fn] The [and] (καί) is not present in the critical text of Revelation, so it is not clear whether “those who dwell in heaven” are to be identified as distinct from the tabernacle. The NASB renders this in English as "to blaspheme His name and His tabernacle, that is, those who dwell in heaven." Such an identification is doubtful, since Revelation describes the church as a lampstand, while Hebrews 9:2 places the lampstand within the tabernacle (“For there was a tabernacle prepared… in which were the lampstand…”), indicating distinction rather than identity. Likewise, Revelation 21:3 (“the tabernacle of God is with men”) maintains a distinction between the dwelling and its inhabitants, not a metaphorical equivalence. So, while the Greek may or may not include the καί, it should likely be understood the way it is rendered in English with the [and].</w:t>
      </w:r>
    </w:p>
    <w:p>
      <w:pPr>
        <w:spacing w:after="150"/>
      </w:pPr>
      <w:r>
        <w:rPr/>
        <w:t xml:space="preserve"/>
      </w:r>
    </w:p>
    <w:p>
      <w:pPr>
        <w:pStyle w:val="Heading3"/>
      </w:pPr>
      <w:bookmarkStart w:id="64" w:name="_Toc64"/>
      <w:r>
        <w:t>Time of Great Tribulation</w:t>
      </w:r>
      <w:bookmarkEnd w:id="64"/>
    </w:p>
    <w:p>
      <w:pPr>
        <w:pStyle w:val="BodyVerse"/>
      </w:pPr>
      <w:r>
        <w:rPr>
          <w:b w:val="1"/>
          <w:bCs w:val="1"/>
        </w:rPr>
        <w:t xml:space="preserve">[[@Bible:Re 13:7]] </w:t>
      </w:r>
      <w:r>
        <w:rPr>
          <w:sz w:val="22"/>
          <w:szCs w:val="22"/>
          <w:b w:val="1"/>
          <w:bCs w:val="1"/>
          <w:vertAlign w:val="superscript"/>
        </w:rPr>
        <w:t xml:space="preserve">7  </w:t>
      </w:r>
      <w:r>
        <w:rPr/>
        <w:t xml:space="preserve">And it was given unto him to </w:t>
      </w:r>
      <w:r>
        <w:rPr>
          <w:b w:val="1"/>
          <w:bCs w:val="1"/>
        </w:rPr>
        <w:t xml:space="preserve">make war with the saints</w:t>
      </w:r>
      <w:r>
        <w:rPr/>
        <w:t xml:space="preserve"> </w:t>
      </w:r>
      <w:r>
        <w:rPr>
          <w:color w:val="4A6FA5"/>
          <w:sz w:val="18"/>
          <w:szCs w:val="18"/>
        </w:rPr>
        <w:t xml:space="preserve"> (m</w:t>
      </w:r>
      <w:r>
        <w:rPr>
          <w:rStyle w:val="FootnoteReference"/>
        </w:rPr>
        <w:footnoteReference w:id="453"/>
      </w:r>
      <w:r>
        <w:rPr>
          <w:color w:val="4A6FA5"/>
          <w:sz w:val="18"/>
          <w:szCs w:val="18"/>
        </w:rPr>
        <w:t xml:space="preserve">) </w:t>
      </w:r>
      <w:r>
        <w:rPr/>
        <w:t xml:space="preserve">, and to </w:t>
      </w:r>
      <w:r>
        <w:rPr>
          <w:b w:val="1"/>
          <w:bCs w:val="1"/>
        </w:rPr>
        <w:t xml:space="preserve">overcome them</w:t>
      </w:r>
      <w:r>
        <w:rPr/>
        <w:t xml:space="preserve"> </w:t>
      </w:r>
      <w:r>
        <w:rPr>
          <w:rStyle w:val="FootnoteReference"/>
        </w:rPr>
        <w:footnoteReference w:id="454"/>
      </w:r>
      <w:r>
        <w:rPr/>
        <w:t xml:space="preserve">: and power was given him over all </w:t>
      </w:r>
      <w:r>
        <w:rPr>
          <w:b w:val="1"/>
          <w:bCs w:val="1"/>
        </w:rPr>
        <w:t xml:space="preserve">kindreds, and tongues, and nations</w:t>
      </w:r>
      <w:r>
        <w:rPr/>
        <w:t xml:space="preserve"> </w:t>
      </w:r>
      <w:r>
        <w:rPr>
          <w:rStyle w:val="FootnoteReference"/>
        </w:rPr>
        <w:footnoteReference w:id="455"/>
      </w:r>
      <w:r>
        <w:rPr/>
        <w:t xml:space="preserve">.</w:t>
      </w:r>
    </w:p>
    <w:p>
      <w:pPr>
        <w:jc w:val="left"/>
        <w:ind w:left="360" w:right="0" w:firstLine="0" w:hanging="0"/>
        <w:spacing w:after="60"/>
      </w:pPr>
      <w:r>
        <w:rPr>
          <w:sz w:val="18"/>
          <w:szCs w:val="18"/>
          <w:i w:val="1"/>
          <w:iCs w:val="1"/>
        </w:rPr>
        <w:t xml:space="preserve">[fn] The dragon makes war through the sea beast.</w:t>
      </w:r>
    </w:p>
    <w:p>
      <w:pPr>
        <w:pStyle w:val="BodyVerse"/>
      </w:pPr>
      <w:r>
        <w:rPr>
          <w:b w:val="1"/>
          <w:bCs w:val="1"/>
        </w:rPr>
        <w:t xml:space="preserve">[[@Bible:Re 13:8]] </w:t>
      </w:r>
      <w:r>
        <w:rPr>
          <w:sz w:val="22"/>
          <w:szCs w:val="22"/>
          <w:b w:val="1"/>
          <w:bCs w:val="1"/>
          <w:vertAlign w:val="superscript"/>
        </w:rPr>
        <w:t xml:space="preserve">8  </w:t>
      </w:r>
      <w:r>
        <w:rPr/>
        <w:t xml:space="preserve">And all who dwell upon the earth shall worship him, whose names are not written in the </w:t>
      </w:r>
      <w:r>
        <w:rPr>
          <w:b w:val="1"/>
          <w:bCs w:val="1"/>
        </w:rPr>
        <w:t xml:space="preserve">book of life</w:t>
      </w:r>
      <w:r>
        <w:rPr/>
        <w:t xml:space="preserve"> </w:t>
      </w:r>
      <w:r>
        <w:rPr>
          <w:rStyle w:val="FootnoteReference"/>
        </w:rPr>
        <w:footnoteReference w:id="456"/>
      </w:r>
      <w:r>
        <w:rPr/>
        <w:t xml:space="preserve"> of the </w:t>
      </w:r>
      <w:r>
        <w:rPr>
          <w:b w:val="1"/>
          <w:bCs w:val="1"/>
        </w:rPr>
        <w:t xml:space="preserve">Lamb slain</w:t>
      </w:r>
      <w:r>
        <w:rPr/>
        <w:t xml:space="preserve"> </w:t>
      </w:r>
      <w:r>
        <w:rPr>
          <w:rStyle w:val="FootnoteReference"/>
        </w:rPr>
        <w:footnoteReference w:id="457"/>
      </w:r>
      <w:r>
        <w:rPr/>
        <w:t xml:space="preserve"> from the foundation of the world.</w:t>
      </w:r>
    </w:p>
    <w:p>
      <w:pPr>
        <w:pStyle w:val="BodyVerse"/>
      </w:pPr>
      <w:r>
        <w:rPr>
          <w:b w:val="1"/>
          <w:bCs w:val="1"/>
        </w:rPr>
        <w:t xml:space="preserve">[[@Bible:Re 13:9]] </w:t>
      </w:r>
      <w:r>
        <w:rPr>
          <w:sz w:val="22"/>
          <w:szCs w:val="22"/>
          <w:b w:val="1"/>
          <w:bCs w:val="1"/>
          <w:vertAlign w:val="superscript"/>
        </w:rPr>
        <w:t xml:space="preserve">9  </w:t>
      </w:r>
      <w:r>
        <w:rPr/>
        <w:t xml:space="preserve">If any man has an ear, </w:t>
      </w:r>
      <w:r>
        <w:rPr>
          <w:b w:val="1"/>
          <w:bCs w:val="1"/>
        </w:rPr>
        <w:t xml:space="preserve">let him hear</w:t>
      </w:r>
      <w:r>
        <w:rPr/>
        <w:t xml:space="preserve"> </w:t>
      </w:r>
      <w:r>
        <w:rPr>
          <w:rStyle w:val="FootnoteReference"/>
        </w:rPr>
        <w:footnoteReference w:id="458"/>
      </w:r>
      <w:r>
        <w:rPr/>
        <w:t xml:space="preserve"> </w:t>
      </w:r>
      <w:r>
        <w:rPr>
          <w:rStyle w:val="FootnoteReference"/>
        </w:rPr>
        <w:footnoteReference w:id="459"/>
      </w:r>
      <w:r>
        <w:rPr/>
        <w:t xml:space="preserve">.</w:t>
      </w:r>
    </w:p>
    <w:p>
      <w:pPr>
        <w:pStyle w:val="BodyVerse"/>
      </w:pPr>
      <w:r>
        <w:rPr>
          <w:b w:val="1"/>
          <w:bCs w:val="1"/>
        </w:rPr>
        <w:t xml:space="preserve">[[@Bible:Re 13:10]] </w:t>
      </w:r>
      <w:r>
        <w:rPr>
          <w:sz w:val="22"/>
          <w:szCs w:val="22"/>
          <w:b w:val="1"/>
          <w:bCs w:val="1"/>
          <w:vertAlign w:val="superscript"/>
        </w:rPr>
        <w:t xml:space="preserve">10  </w:t>
      </w:r>
      <w:r>
        <w:rPr/>
        <w:t xml:space="preserve">He that is led into captivity shall go into captivity: </w:t>
      </w:r>
      <w:r>
        <w:rPr>
          <w:b w:val="1"/>
          <w:bCs w:val="1"/>
        </w:rPr>
        <w:t xml:space="preserve">he that is killed with the sword must be killed with the sword</w:t>
      </w:r>
      <w:r>
        <w:rPr/>
        <w:t xml:space="preserve"> </w:t>
      </w:r>
      <w:r>
        <w:rPr>
          <w:color w:val="4A6FA5"/>
          <w:sz w:val="18"/>
          <w:szCs w:val="18"/>
        </w:rPr>
        <w:t xml:space="preserve"> (y</w:t>
      </w:r>
      <w:r>
        <w:rPr>
          <w:rStyle w:val="FootnoteReference"/>
        </w:rPr>
        <w:footnoteReference w:id="460"/>
      </w:r>
      <w:r>
        <w:rPr>
          <w:color w:val="4A6FA5"/>
          <w:sz w:val="18"/>
          <w:szCs w:val="18"/>
        </w:rPr>
        <w:t xml:space="preserve">) </w:t>
      </w:r>
      <w:r>
        <w:rPr/>
        <w:t xml:space="preserve">. </w:t>
      </w:r>
      <w:r>
        <w:rPr>
          <w:b w:val="1"/>
          <w:bCs w:val="1"/>
        </w:rPr>
        <w:t xml:space="preserve">Here is the patience</w:t>
      </w:r>
      <w:r>
        <w:rPr/>
        <w:t xml:space="preserve"> </w:t>
      </w:r>
      <w:r>
        <w:rPr>
          <w:color w:val="4A6FA5"/>
          <w:sz w:val="18"/>
          <w:szCs w:val="18"/>
        </w:rPr>
        <w:t xml:space="preserve"> (p</w:t>
      </w:r>
      <w:r>
        <w:rPr>
          <w:rStyle w:val="FootnoteReference"/>
        </w:rPr>
        <w:footnoteReference w:id="461"/>
      </w:r>
      <w:r>
        <w:rPr>
          <w:color w:val="4A6FA5"/>
          <w:sz w:val="18"/>
          <w:szCs w:val="18"/>
        </w:rPr>
        <w:t xml:space="preserve">) </w:t>
      </w:r>
      <w:r>
        <w:rPr/>
        <w:t xml:space="preserve"> and </w:t>
      </w:r>
      <w:r>
        <w:rPr>
          <w:b w:val="1"/>
          <w:bCs w:val="1"/>
        </w:rPr>
        <w:t xml:space="preserve">the faith of the saints</w:t>
      </w:r>
      <w:r>
        <w:rPr/>
        <w:t xml:space="preserve"> </w:t>
      </w:r>
      <w:r>
        <w:rPr>
          <w:color w:val="4A6FA5"/>
          <w:sz w:val="18"/>
          <w:szCs w:val="18"/>
        </w:rPr>
        <w:t xml:space="preserve"> (fs</w:t>
      </w:r>
      <w:r>
        <w:rPr>
          <w:rStyle w:val="FootnoteReference"/>
        </w:rPr>
        <w:footnoteReference w:id="462"/>
      </w:r>
      <w:r>
        <w:rPr>
          <w:color w:val="4A6FA5"/>
          <w:sz w:val="18"/>
          <w:szCs w:val="18"/>
        </w:rPr>
        <w:t xml:space="preserve">) </w:t>
      </w:r>
      <w:r>
        <w:rPr/>
        <w:t xml:space="preserve"> </w:t>
      </w:r>
      <w:r>
        <w:rPr>
          <w:color w:val="4A6FA5"/>
          <w:sz w:val="18"/>
          <w:szCs w:val="18"/>
        </w:rPr>
        <w:t xml:space="preserve"> (m</w:t>
      </w:r>
      <w:r>
        <w:rPr>
          <w:rStyle w:val="FootnoteReference"/>
        </w:rPr>
        <w:footnoteReference w:id="46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After the "a time, and times, and half a time" comes to its end, the saints will no longer be worn out (Daniel 7:25). Their patience will come to completion.</w:t>
      </w:r>
    </w:p>
    <w:p>
      <w:pPr>
        <w:jc w:val="center"/>
        <w:spacing w:before="120" w:after="60"/>
      </w:pPr>
      <w:r>
        <w:rPr>
          <w:sz w:val="36"/>
          <w:szCs w:val="36"/>
          <w:b w:val="1"/>
          <w:bCs w:val="1"/>
        </w:rPr>
        <w:t xml:space="preserve">✶</w:t>
      </w:r>
    </w:p>
    <w:p>
      <w:pPr>
        <w:pStyle w:val="Heading3"/>
      </w:pPr>
      <w:bookmarkStart w:id="65" w:name="_Toc65"/>
      <w:r>
        <w:t>Beast 3: Earth Beast</w:t>
      </w:r>
      <w:bookmarkEnd w:id="65"/>
    </w:p>
    <w:p>
      <w:pPr>
        <w:pStyle w:val="SectionBody"/>
      </w:pPr>
      <w:r>
        <w:rPr>
          <w:b w:val="1"/>
          <w:bCs w:val="1"/>
        </w:rPr>
        <w:t xml:space="preserve">Parenthetical Scene 4.3:</w:t>
      </w:r>
      <w:r>
        <w:rPr/>
        <w:t xml:space="preserve"> This sub-parenthetical (4.3) demonstrates what the worship of the beast looks like from Revelation 13:3-4.</w:t>
      </w:r>
    </w:p>
    <w:p>
      <w:pPr>
        <w:pStyle w:val="SectionBody"/>
      </w:pPr>
      <w:r>
        <w:rPr>
          <w:b w:val="1"/>
          <w:bCs w:val="1"/>
        </w:rPr>
        <w:t xml:space="preserve">False Prophet:</w:t>
      </w:r>
    </w:p>
    <w:p>
      <w:pPr>
        <w:pStyle w:val="SectionBody"/>
      </w:pPr>
      <w:r>
        <w:rPr/>
        <w:t xml:space="preserve">13:11-16, 16:13, 19:20, 20:10</w:t>
      </w:r>
    </w:p>
    <w:p>
      <w:pPr>
        <w:spacing w:after="150"/>
      </w:pPr>
      <w:r>
        <w:rPr/>
        <w:t xml:space="preserve"/>
      </w:r>
    </w:p>
    <w:p>
      <w:pPr>
        <w:pStyle w:val="BodyVerse"/>
      </w:pPr>
      <w:r>
        <w:rPr>
          <w:b w:val="1"/>
          <w:bCs w:val="1"/>
        </w:rPr>
        <w:t xml:space="preserve">[[@Bible:Re 13:11]] </w:t>
      </w:r>
      <w:r>
        <w:rPr>
          <w:sz w:val="22"/>
          <w:szCs w:val="22"/>
          <w:b w:val="1"/>
          <w:bCs w:val="1"/>
          <w:vertAlign w:val="superscript"/>
        </w:rPr>
        <w:t xml:space="preserve">11  </w:t>
      </w:r>
      <w:r>
        <w:rPr/>
        <w:t xml:space="preserve">And I beheld another beast ascend out of the earth; and he had two horns like a lamb, and he spake as a dragon.</w:t>
      </w:r>
    </w:p>
    <w:p>
      <w:pPr>
        <w:pStyle w:val="BodyVerse"/>
      </w:pPr>
      <w:r>
        <w:rPr>
          <w:b w:val="1"/>
          <w:bCs w:val="1"/>
        </w:rPr>
        <w:t xml:space="preserve">[[@Bible:Re 13:12]] </w:t>
      </w:r>
      <w:r>
        <w:rPr>
          <w:sz w:val="22"/>
          <w:szCs w:val="22"/>
          <w:b w:val="1"/>
          <w:bCs w:val="1"/>
          <w:vertAlign w:val="superscript"/>
        </w:rPr>
        <w:t xml:space="preserve">12  </w:t>
      </w:r>
      <w:r>
        <w:rPr/>
        <w:t xml:space="preserve">And he exercises all the power of the first beast before him, and causes the earth and them which dwell therein to </w:t>
      </w:r>
      <w:r>
        <w:rPr>
          <w:b w:val="1"/>
          <w:bCs w:val="1"/>
        </w:rPr>
        <w:t xml:space="preserve">worship the first beast</w:t>
      </w:r>
      <w:r>
        <w:rPr/>
        <w:t xml:space="preserve"> </w:t>
      </w:r>
      <w:r>
        <w:rPr>
          <w:color w:val="4A6FA5"/>
          <w:sz w:val="18"/>
          <w:szCs w:val="18"/>
        </w:rPr>
        <w:t xml:space="preserve"> (wb</w:t>
      </w:r>
      <w:r>
        <w:rPr>
          <w:rStyle w:val="FootnoteReference"/>
        </w:rPr>
        <w:footnoteReference w:id="464"/>
      </w:r>
      <w:r>
        <w:rPr>
          <w:color w:val="4A6FA5"/>
          <w:sz w:val="18"/>
          <w:szCs w:val="18"/>
        </w:rPr>
        <w:t xml:space="preserve">) </w:t>
      </w:r>
      <w:r>
        <w:rPr/>
        <w:t xml:space="preserve">, whose </w:t>
      </w:r>
      <w:r>
        <w:rPr>
          <w:b w:val="1"/>
          <w:bCs w:val="1"/>
        </w:rPr>
        <w:t xml:space="preserve">deadly wound was healed</w:t>
      </w:r>
      <w:r>
        <w:rPr/>
        <w:t xml:space="preserve"> </w:t>
      </w:r>
      <w:r>
        <w:rPr>
          <w:rStyle w:val="FootnoteReference"/>
        </w:rPr>
        <w:footnoteReference w:id="465"/>
      </w:r>
      <w:r>
        <w:rPr/>
        <w:t xml:space="preserve">.</w:t>
      </w:r>
    </w:p>
    <w:p>
      <w:pPr>
        <w:jc w:val="left"/>
        <w:ind w:left="360" w:right="0" w:firstLine="0" w:hanging="0"/>
        <w:spacing w:after="60"/>
      </w:pPr>
      <w:r>
        <w:rPr>
          <w:sz w:val="18"/>
          <w:szCs w:val="18"/>
          <w:i w:val="1"/>
          <w:iCs w:val="1"/>
        </w:rPr>
        <w:t xml:space="preserve">[fn] Here, the "first beast" is the one with the wound. This is a helpful identification because, in Revelation 11, we technically encounter our first beast, who comes out of the bottomless pit (Satan only). This further helps us know that 12-13 is meant to be parenthetical.</w:t>
      </w:r>
    </w:p>
    <w:p>
      <w:pPr>
        <w:pStyle w:val="BodyVerse"/>
      </w:pPr>
      <w:r>
        <w:rPr>
          <w:b w:val="1"/>
          <w:bCs w:val="1"/>
        </w:rPr>
        <w:t xml:space="preserve">[[@Bible:Re 13:13]] </w:t>
      </w:r>
      <w:r>
        <w:rPr>
          <w:sz w:val="22"/>
          <w:szCs w:val="22"/>
          <w:b w:val="1"/>
          <w:bCs w:val="1"/>
          <w:vertAlign w:val="superscript"/>
        </w:rPr>
        <w:t xml:space="preserve">13  </w:t>
      </w:r>
      <w:r>
        <w:rPr/>
        <w:t xml:space="preserve">And he does great </w:t>
      </w:r>
      <w:r>
        <w:rPr>
          <w:b w:val="1"/>
          <w:bCs w:val="1"/>
        </w:rPr>
        <w:t xml:space="preserve">signs</w:t>
      </w:r>
      <w:r>
        <w:rPr/>
        <w:t xml:space="preserve"> </w:t>
      </w:r>
      <w:r>
        <w:rPr>
          <w:rStyle w:val="FootnoteReference"/>
        </w:rPr>
        <w:footnoteReference w:id="466"/>
      </w:r>
      <w:r>
        <w:rPr/>
        <w:t xml:space="preserve">, so that he makes fire come down from heaven on the earth in the sight of men,</w:t>
      </w:r>
    </w:p>
    <w:p>
      <w:pPr>
        <w:pStyle w:val="BodyVerse"/>
      </w:pPr>
      <w:r>
        <w:rPr>
          <w:b w:val="1"/>
          <w:bCs w:val="1"/>
        </w:rPr>
        <w:t xml:space="preserve">[[@Bible:Re 13:14]] </w:t>
      </w:r>
      <w:r>
        <w:rPr>
          <w:sz w:val="22"/>
          <w:szCs w:val="22"/>
          <w:b w:val="1"/>
          <w:bCs w:val="1"/>
          <w:vertAlign w:val="superscript"/>
        </w:rPr>
        <w:t xml:space="preserve">14  </w:t>
      </w:r>
      <w:r>
        <w:rPr/>
        <w:t xml:space="preserve">And deceives those who dwell on the earth by the means of those </w:t>
      </w:r>
      <w:r>
        <w:rPr>
          <w:b w:val="1"/>
          <w:bCs w:val="1"/>
        </w:rPr>
        <w:t xml:space="preserve">signs</w:t>
      </w:r>
      <w:r>
        <w:rPr/>
        <w:t xml:space="preserve"> </w:t>
      </w:r>
      <w:r>
        <w:rPr>
          <w:rStyle w:val="FootnoteReference"/>
        </w:rPr>
        <w:footnoteReference w:id="467"/>
      </w:r>
      <w:r>
        <w:rPr/>
        <w:t xml:space="preserve"> which it was given him to do in the sight of the beast; saying to those who dwell on the earth, that they should make an </w:t>
      </w:r>
      <w:r>
        <w:rPr>
          <w:b w:val="1"/>
          <w:bCs w:val="1"/>
        </w:rPr>
        <w:t xml:space="preserve">image to the beast</w:t>
      </w:r>
      <w:r>
        <w:rPr/>
        <w:t xml:space="preserve"> </w:t>
      </w:r>
      <w:r>
        <w:rPr>
          <w:rStyle w:val="FootnoteReference"/>
        </w:rPr>
        <w:footnoteReference w:id="468"/>
      </w:r>
      <w:r>
        <w:rPr/>
        <w:t xml:space="preserve">, who had the wound by a sword, and did </w:t>
      </w:r>
      <w:r>
        <w:rPr>
          <w:b w:val="1"/>
          <w:bCs w:val="1"/>
        </w:rPr>
        <w:t xml:space="preserve">live</w:t>
      </w:r>
      <w:r>
        <w:rPr/>
        <w:t xml:space="preserve"> </w:t>
      </w:r>
      <w:r>
        <w:rPr>
          <w:rStyle w:val="FootnoteReference"/>
        </w:rPr>
        <w:footnoteReference w:id="469"/>
      </w:r>
      <w:r>
        <w:rPr/>
        <w:t xml:space="preserve"> </w:t>
      </w:r>
      <w:r>
        <w:rPr>
          <w:rStyle w:val="FootnoteReference"/>
        </w:rPr>
        <w:footnoteReference w:id="470"/>
      </w:r>
      <w:r>
        <w:rPr/>
        <w:t xml:space="preserve">.</w:t>
      </w:r>
    </w:p>
    <w:p>
      <w:pPr>
        <w:jc w:val="left"/>
        <w:ind w:left="360" w:right="0" w:firstLine="0" w:hanging="0"/>
        <w:spacing w:after="60"/>
      </w:pPr>
      <w:r>
        <w:rPr>
          <w:sz w:val="18"/>
          <w:szCs w:val="18"/>
          <w:i w:val="1"/>
          <w:iCs w:val="1"/>
        </w:rPr>
        <w:t xml:space="preserve">[fn] The NASB reads, “the beast who had the wound of the sword and has come to life,” which may suggest a full resurrection. However, the KJV’s rendering, “did live,” more closely reflects the ambiguity of the Greek. While the same verb (ἔζησεν, ezēsen, “he lived”) is used of both Christ (Rev 2:8) and the beast (Rev 13:14), the surrounding language distinguishes the two events. Christ is explicitly said to have “become dead” (ἐγένετο νεκρός), whereas the beast is described as having a “wound of the sword” and, notably, as “as it were slain” (ὡς ἐσφαγμένην, Rev 13:3). The phrase ὡς (“as, as if”) introduces the idea of appearance rather than confirmed reality. Thus, the text appears to present an imitation of death and life, evoking resurrection imagery without explicitly affirming that the beast truly died and rose again.</w:t>
      </w:r>
    </w:p>
    <w:p>
      <w:pPr>
        <w:pStyle w:val="BodyVerse"/>
      </w:pPr>
      <w:r>
        <w:rPr>
          <w:b w:val="1"/>
          <w:bCs w:val="1"/>
        </w:rPr>
        <w:t xml:space="preserve">[[@Bible:Re 13:15]] </w:t>
      </w:r>
      <w:r>
        <w:rPr>
          <w:sz w:val="22"/>
          <w:szCs w:val="22"/>
          <w:b w:val="1"/>
          <w:bCs w:val="1"/>
          <w:vertAlign w:val="superscript"/>
        </w:rPr>
        <w:t xml:space="preserve">15  </w:t>
      </w:r>
      <w:r>
        <w:rPr/>
        <w:t xml:space="preserve">And it was given him to give life unto the </w:t>
      </w:r>
      <w:r>
        <w:rPr>
          <w:b w:val="1"/>
          <w:bCs w:val="1"/>
        </w:rPr>
        <w:t xml:space="preserve">image of the beast</w:t>
      </w:r>
      <w:r>
        <w:rPr/>
        <w:t xml:space="preserve"> </w:t>
      </w:r>
      <w:r>
        <w:rPr>
          <w:rStyle w:val="FootnoteReference"/>
        </w:rPr>
        <w:footnoteReference w:id="471"/>
      </w:r>
      <w:r>
        <w:rPr/>
        <w:t xml:space="preserve"> </w:t>
      </w:r>
      <w:r>
        <w:rPr>
          <w:rStyle w:val="FootnoteReference"/>
        </w:rPr>
        <w:footnoteReference w:id="472"/>
      </w:r>
      <w:r>
        <w:rPr/>
        <w:t xml:space="preserve">, that the </w:t>
      </w:r>
      <w:r>
        <w:rPr>
          <w:b w:val="1"/>
          <w:bCs w:val="1"/>
        </w:rPr>
        <w:t xml:space="preserve">image of the beast</w:t>
      </w:r>
      <w:r>
        <w:rPr/>
        <w:t xml:space="preserve"> </w:t>
      </w:r>
      <w:r>
        <w:rPr>
          <w:rStyle w:val="FootnoteReference"/>
        </w:rPr>
        <w:footnoteReference w:id="473"/>
      </w:r>
      <w:r>
        <w:rPr/>
        <w:t xml:space="preserve"> should both speak, and cause that as many as would not worship the </w:t>
      </w:r>
      <w:r>
        <w:rPr>
          <w:b w:val="1"/>
          <w:bCs w:val="1"/>
        </w:rPr>
        <w:t xml:space="preserve">image of the beast</w:t>
      </w:r>
      <w:r>
        <w:rPr/>
        <w:t xml:space="preserve"> </w:t>
      </w:r>
      <w:r>
        <w:rPr>
          <w:rStyle w:val="FootnoteReference"/>
        </w:rPr>
        <w:footnoteReference w:id="474"/>
      </w:r>
      <w:r>
        <w:rPr/>
        <w:t xml:space="preserve"> should be killed.</w:t>
      </w:r>
    </w:p>
    <w:p>
      <w:pPr>
        <w:jc w:val="left"/>
        <w:ind w:left="360" w:right="0" w:firstLine="0" w:hanging="0"/>
        <w:spacing w:after="60"/>
      </w:pPr>
      <w:r>
        <w:rPr>
          <w:sz w:val="18"/>
          <w:szCs w:val="18"/>
          <w:i w:val="1"/>
          <w:iCs w:val="1"/>
        </w:rPr>
        <w:t xml:space="preserve">[fn] ESV "breath" not "life". In Greek πνεῦμα "spirit, wind, breath".</w:t>
      </w:r>
    </w:p>
    <w:p>
      <w:pPr>
        <w:pStyle w:val="BodyVerse"/>
      </w:pPr>
      <w:r>
        <w:rPr>
          <w:b w:val="1"/>
          <w:bCs w:val="1"/>
        </w:rPr>
        <w:t xml:space="preserve">[[@Bible:Re 13:16]] </w:t>
      </w:r>
      <w:r>
        <w:rPr>
          <w:sz w:val="22"/>
          <w:szCs w:val="22"/>
          <w:b w:val="1"/>
          <w:bCs w:val="1"/>
          <w:vertAlign w:val="superscript"/>
        </w:rPr>
        <w:t xml:space="preserve">16  </w:t>
      </w:r>
      <w:r>
        <w:rPr/>
        <w:t xml:space="preserve">And he causes all, both small and great, rich and poor, free and bond, to receive a </w:t>
      </w:r>
      <w:r>
        <w:rPr>
          <w:b w:val="1"/>
          <w:bCs w:val="1"/>
        </w:rPr>
        <w:t xml:space="preserve">mark</w:t>
      </w:r>
      <w:r>
        <w:rPr/>
        <w:t xml:space="preserve"> </w:t>
      </w:r>
      <w:r>
        <w:rPr>
          <w:rStyle w:val="FootnoteReference"/>
        </w:rPr>
        <w:footnoteReference w:id="475"/>
      </w:r>
      <w:r>
        <w:rPr/>
        <w:t xml:space="preserve"> in their </w:t>
      </w:r>
      <w:r>
        <w:rPr>
          <w:b w:val="1"/>
          <w:bCs w:val="1"/>
        </w:rPr>
        <w:t xml:space="preserve">right hand</w:t>
      </w:r>
      <w:r>
        <w:rPr/>
        <w:t xml:space="preserve"> </w:t>
      </w:r>
      <w:r>
        <w:rPr>
          <w:rStyle w:val="FootnoteReference"/>
        </w:rPr>
        <w:footnoteReference w:id="476"/>
      </w:r>
      <w:r>
        <w:rPr/>
        <w:t xml:space="preserve">, or in their </w:t>
      </w:r>
      <w:r>
        <w:rPr>
          <w:b w:val="1"/>
          <w:bCs w:val="1"/>
        </w:rPr>
        <w:t xml:space="preserve">foreheads</w:t>
      </w:r>
      <w:r>
        <w:rPr/>
        <w:t xml:space="preserve"> </w:t>
      </w:r>
      <w:r>
        <w:rPr>
          <w:rStyle w:val="FootnoteReference"/>
        </w:rPr>
        <w:footnoteReference w:id="477"/>
      </w:r>
      <w:r>
        <w:rPr/>
        <w:t xml:space="preserve">:</w:t>
      </w:r>
    </w:p>
    <w:p>
      <w:pPr>
        <w:pStyle w:val="BodyVerse"/>
      </w:pPr>
      <w:r>
        <w:rPr>
          <w:b w:val="1"/>
          <w:bCs w:val="1"/>
        </w:rPr>
        <w:t xml:space="preserve">[[@Bible:Re 13:17]] </w:t>
      </w:r>
      <w:r>
        <w:rPr>
          <w:sz w:val="22"/>
          <w:szCs w:val="22"/>
          <w:b w:val="1"/>
          <w:bCs w:val="1"/>
          <w:vertAlign w:val="superscript"/>
        </w:rPr>
        <w:t xml:space="preserve">17  </w:t>
      </w:r>
      <w:r>
        <w:rPr/>
        <w:t xml:space="preserve">And that none might buy or sell, save he that had the </w:t>
      </w:r>
      <w:r>
        <w:rPr>
          <w:b w:val="1"/>
          <w:bCs w:val="1"/>
        </w:rPr>
        <w:t xml:space="preserve">mark</w:t>
      </w:r>
      <w:r>
        <w:rPr/>
        <w:t xml:space="preserve"> </w:t>
      </w:r>
      <w:r>
        <w:rPr>
          <w:rStyle w:val="FootnoteReference"/>
        </w:rPr>
        <w:footnoteReference w:id="478"/>
      </w:r>
      <w:r>
        <w:rPr/>
        <w:t xml:space="preserve">: the name of the beast or the number of his name.</w:t>
      </w:r>
    </w:p>
    <w:p>
      <w:pPr>
        <w:jc w:val="left"/>
        <w:ind w:left="360" w:right="0" w:firstLine="0" w:hanging="0"/>
        <w:spacing w:after="60"/>
      </w:pPr>
      <w:r>
        <w:rPr>
          <w:sz w:val="18"/>
          <w:szCs w:val="18"/>
          <w:i w:val="1"/>
          <w:iCs w:val="1"/>
        </w:rPr>
        <w:t xml:space="preserve">[fn] Based on Revelation 14:11, "whosoever receives the mark of his name," The mark is not distinct from the name. The mark is the number of the name.</w:t>
      </w:r>
    </w:p>
    <w:p>
      <w:pPr>
        <w:spacing w:after="150"/>
      </w:pPr>
      <w:r>
        <w:rPr/>
        <w:t xml:space="preserve"/>
      </w:r>
    </w:p>
    <w:p>
      <w:pPr>
        <w:pStyle w:val="Heading3"/>
      </w:pPr>
      <w:bookmarkStart w:id="66" w:name="_Toc66"/>
      <w:r>
        <w:t>Mark of the Beast</w:t>
      </w:r>
      <w:bookmarkEnd w:id="66"/>
    </w:p>
    <w:p>
      <w:pPr>
        <w:pStyle w:val="SectionBody"/>
      </w:pPr>
      <w:r>
        <w:rPr>
          <w:b w:val="1"/>
          <w:bCs w:val="1"/>
        </w:rPr>
        <w:t xml:space="preserve">Important Note:</w:t>
      </w:r>
      <w:r>
        <w:rPr/>
        <w:t xml:space="preserve"> Both the beginning of the parenthetical story starting in Chapter 12 and now into Chapter 13 start and end with the reference to this 1/3, or calculated as 2/3 (66.6%), and seen here as a whole number of 666 symbolically. These numbers might serve as "bookends" to this parenthetical story.</w:t>
      </w:r>
    </w:p>
    <w:p>
      <w:pPr>
        <w:spacing w:after="150"/>
      </w:pPr>
      <w:r>
        <w:rPr/>
        <w:t xml:space="preserve"/>
      </w:r>
    </w:p>
    <w:p>
      <w:pPr>
        <w:pStyle w:val="BodyVerse"/>
      </w:pPr>
      <w:r>
        <w:rPr>
          <w:b w:val="1"/>
          <w:bCs w:val="1"/>
        </w:rPr>
        <w:t xml:space="preserve">[[@Bible:Re 13:18]] </w:t>
      </w:r>
      <w:r>
        <w:rPr>
          <w:sz w:val="22"/>
          <w:szCs w:val="22"/>
          <w:b w:val="1"/>
          <w:bCs w:val="1"/>
          <w:vertAlign w:val="superscript"/>
        </w:rPr>
        <w:t xml:space="preserve">18  </w:t>
      </w:r>
      <w:r>
        <w:rPr/>
        <w:t xml:space="preserve">Here is wisdom. Let him who has understanding calculate the number of the beast: for it is the </w:t>
      </w:r>
      <w:r>
        <w:rPr>
          <w:b w:val="1"/>
          <w:bCs w:val="1"/>
        </w:rPr>
        <w:t xml:space="preserve">number of a man</w:t>
      </w:r>
      <w:r>
        <w:rPr/>
        <w:t xml:space="preserve"> </w:t>
      </w:r>
      <w:r>
        <w:rPr>
          <w:rStyle w:val="FootnoteReference"/>
        </w:rPr>
        <w:footnoteReference w:id="479"/>
      </w:r>
      <w:r>
        <w:rPr/>
        <w:t xml:space="preserve">; and his number is </w:t>
      </w:r>
      <w:r>
        <w:rPr>
          <w:b w:val="1"/>
          <w:bCs w:val="1"/>
        </w:rPr>
        <w:t xml:space="preserve">six hundred sixty and six</w:t>
      </w:r>
      <w:r>
        <w:rPr/>
        <w:t xml:space="preserve"> </w:t>
      </w:r>
      <w:r>
        <w:rPr>
          <w:rStyle w:val="FootnoteReference"/>
        </w:rPr>
        <w:footnoteReference w:id="480"/>
      </w:r>
      <w:r>
        <w:rPr/>
        <w:t xml:space="preserve">.</w:t>
      </w:r>
    </w:p>
    <w:p>
      <w:pPr>
        <w:jc w:val="left"/>
        <w:ind w:left="360" w:right="0" w:firstLine="0" w:hanging="0"/>
        <w:spacing w:after="60"/>
      </w:pPr>
      <w:r>
        <w:rPr>
          <w:sz w:val="18"/>
          <w:szCs w:val="18"/>
          <w:i w:val="1"/>
          <w:iCs w:val="1"/>
        </w:rPr>
        <w:t xml:space="preserve">[fn] Greek, for calculate is ψηφισατω is "compute, reckon, count, calculate, estimate".  It might be that calculate is not a riddle per-say but a mock. The only mathematical reference in Revelation that fits this is the 1/3 stars in 12:4; the remainder of 1/3 is 66.666%. This might be telling us that the number of beast is Satan's numbered failure for claiming all of heaven's angels and also trying to set himself up as God. Thus, the number 666 is a mockery of him, "Your number is your failure: 66.6%. You are not a god, you are a man."</w:t>
      </w:r>
    </w:p>
    <w:p>
      <w:pPr>
        <w:jc w:val="center"/>
        <w:spacing w:before="120" w:after="60"/>
      </w:pPr>
      <w:r>
        <w:rPr>
          <w:sz w:val="36"/>
          <w:szCs w:val="36"/>
          <w:b w:val="1"/>
          <w:bCs w:val="1"/>
        </w:rPr>
        <w:t xml:space="preserve">✶</w:t>
      </w:r>
    </w:p>
    <w:p>
      <w:pPr>
        <w:pStyle w:val="Heading2"/>
      </w:pPr>
      <w:bookmarkStart w:id="67" w:name="_Toc67"/>
      <w:r>
        <w:t>The Main Storyline Stem: The Full 7 Year Overview</w:t>
      </w:r>
      <w:bookmarkEnd w:id="67"/>
    </w:p>
    <w:p>
      <w:pPr>
        <w:pStyle w:val="SectionBody"/>
      </w:pPr>
      <w:r>
        <w:rPr>
          <w:b w:val="1"/>
          <w:bCs w:val="1"/>
        </w:rPr>
        <w:t xml:space="preserve">Parenthetical Scene 5.1:</w:t>
      </w:r>
      <w:r>
        <w:rPr/>
        <w:t xml:space="preserve"> Chapter 14 appears to have 3 sections that span a full 7 years of great tribulation.</w:t>
      </w:r>
    </w:p>
    <w:p>
      <w:pPr>
        <w:pStyle w:val="SectionBody"/>
      </w:pPr>
      <w:r>
        <w:rPr/>
        <w:t xml:space="preserve">1. A beginning: Revelation 14:1-8</w:t>
      </w:r>
    </w:p>
    <w:p>
      <w:pPr>
        <w:pStyle w:val="SectionBody"/>
      </w:pPr>
      <w:r>
        <w:rPr/>
        <w:t xml:space="preserve">2. A middle: Revelation 14:9-13</w:t>
      </w:r>
    </w:p>
    <w:p>
      <w:pPr>
        <w:pStyle w:val="SectionBody"/>
      </w:pPr>
      <w:r>
        <w:rPr/>
        <w:t xml:space="preserve">3. An end: Revelation 14:15-20</w:t>
      </w:r>
    </w:p>
    <w:p>
      <w:pPr>
        <w:pStyle w:val="SectionBody"/>
      </w:pPr>
      <w:r>
        <w:rPr>
          <w:b w:val="1"/>
          <w:bCs w:val="1"/>
        </w:rPr>
        <w:t xml:space="preserve">The beginning verses 1-8: Beginning of 7 years of great tribulation</w:t>
      </w:r>
    </w:p>
    <w:p>
      <w:pPr>
        <w:pStyle w:val="SectionBody"/>
      </w:pPr>
      <w:r>
        <w:rPr/>
        <w:t xml:space="preserve">Verses 1-8 describe 4 events: the 144,000 with Jesus, the new song, the gospel message with worship, and the fall of Mystery Babylon.</w:t>
      </w:r>
    </w:p>
    <w:p>
      <w:pPr>
        <w:pStyle w:val="SectionBody"/>
      </w:pPr>
      <w:r>
        <w:rPr>
          <w:b w:val="1"/>
          <w:bCs w:val="1"/>
        </w:rPr>
        <w:t xml:space="preserve">The middle verses 9-13: Transitioning into the first 1260 days of that tribulation.</w:t>
      </w:r>
    </w:p>
    <w:p>
      <w:pPr>
        <w:pStyle w:val="SectionBody"/>
      </w:pPr>
      <w:r>
        <w:rPr/>
        <w:t xml:space="preserve">Verses 9-13 describe 2 events: the warning against worshipping the beast, and the patience of the saints.</w:t>
      </w:r>
    </w:p>
    <w:p>
      <w:pPr>
        <w:pStyle w:val="SectionBody"/>
      </w:pPr>
      <w:r>
        <w:rPr>
          <w:b w:val="1"/>
          <w:bCs w:val="1"/>
        </w:rPr>
        <w:t xml:space="preserve">The end verses 15-20: Transitioning into the closing of 7 years of great tribulation</w:t>
      </w:r>
    </w:p>
    <w:p>
      <w:pPr>
        <w:pStyle w:val="SectionBody"/>
      </w:pPr>
      <w:r>
        <w:rPr/>
        <w:t xml:space="preserve">Verses 15-20 describe 3 events: Jesus reaping the earth upon exiting the temple, the reaping from the altar messenger with power over fire, and the winepress trodding.</w:t>
      </w:r>
    </w:p>
    <w:p>
      <w:pPr>
        <w:pStyle w:val="SectionBody"/>
      </w:pPr>
      <w:r>
        <w:rPr>
          <w:b w:val="1"/>
          <w:bCs w:val="1"/>
        </w:rPr>
        <w:t xml:space="preserve">Bookends</w:t>
      </w:r>
      <w:r>
        <w:rPr/>
        <w:t xml:space="preserve">: Jesus appears twice at the start on earth and at the end in the clouds.</w:t>
      </w:r>
    </w:p>
    <w:p>
      <w:pPr>
        <w:spacing w:after="150"/>
      </w:pPr>
      <w:r>
        <w:rPr/>
        <w:t xml:space="preserve"/>
      </w:r>
    </w:p>
    <w:p>
      <w:pPr>
        <w:spacing w:after="150"/>
      </w:pPr>
      <w:r>
        <w:rPr/>
        <w:t xml:space="preserve"/>
      </w:r>
    </w:p>
    <w:p>
      <w:pPr>
        <w:pStyle w:val="Heading3"/>
      </w:pPr>
      <w:bookmarkStart w:id="68" w:name="_Toc68"/>
      <w:r>
        <w:t>The 144,000 and Jesus Appears</w:t>
      </w:r>
      <w:bookmarkEnd w:id="68"/>
    </w:p>
    <w:p>
      <w:pPr>
        <w:pStyle w:val="SectionBody"/>
      </w:pPr>
      <w:r>
        <w:rPr>
          <w:b w:val="1"/>
          <w:bCs w:val="1"/>
        </w:rPr>
        <w:t xml:space="preserve">Important Note:</w:t>
      </w:r>
      <w:r>
        <w:rPr/>
        <w:t xml:space="preserve"> In Revelation 7, the 144,000 are not yet sealed, and when they are sealed, a group of saints begins coming out of tribulation. If that group of saints comes out of tribulation near the moment the 144,000 are sealed, and we see that same 144,000 now sealed here with the Lamb, then it is possible the saints coming out of tribulation happen near this very moment in Revelation 14:1, but no later than 14:8 at the fall of Mystery Babylon (before all this is also an option but I do not think that is the case, as this study I hope demonstates).</w:t>
      </w:r>
    </w:p>
    <w:p>
      <w:pPr>
        <w:spacing w:after="150"/>
      </w:pPr>
      <w:r>
        <w:rPr/>
        <w:t xml:space="preserve"/>
      </w:r>
    </w:p>
    <w:p>
      <w:pPr>
        <w:pStyle w:val="BodyVerse"/>
      </w:pPr>
      <w:r>
        <w:rPr>
          <w:b w:val="1"/>
          <w:bCs w:val="1"/>
        </w:rPr>
        <w:t xml:space="preserve">[[@Bible:Re 14:1]] </w:t>
      </w:r>
      <w:r>
        <w:rPr>
          <w:sz w:val="22"/>
          <w:szCs w:val="22"/>
          <w:b w:val="1"/>
          <w:bCs w:val="1"/>
          <w:vertAlign w:val="superscript"/>
        </w:rPr>
        <w:t xml:space="preserve">1  </w:t>
      </w:r>
      <w:r>
        <w:rPr/>
        <w:t xml:space="preserve">And I looked, and, lo, </w:t>
      </w:r>
      <w:r>
        <w:rPr>
          <w:b w:val="1"/>
          <w:bCs w:val="1"/>
        </w:rPr>
        <w:t xml:space="preserve">a Lamb stood on the mount Zion</w:t>
      </w:r>
      <w:r>
        <w:rPr/>
        <w:t xml:space="preserve"> </w:t>
      </w:r>
      <w:r>
        <w:rPr>
          <w:color w:val="4A6FA5"/>
          <w:sz w:val="18"/>
          <w:szCs w:val="18"/>
        </w:rPr>
        <w:t xml:space="preserve"> (a</w:t>
      </w:r>
      <w:r>
        <w:rPr>
          <w:rStyle w:val="FootnoteReference"/>
        </w:rPr>
        <w:footnoteReference w:id="481"/>
      </w:r>
      <w:r>
        <w:rPr>
          <w:color w:val="4A6FA5"/>
          <w:sz w:val="18"/>
          <w:szCs w:val="18"/>
        </w:rPr>
        <w:t xml:space="preserve">) </w:t>
      </w:r>
      <w:r>
        <w:rPr/>
        <w:t xml:space="preserve">, and with him an </w:t>
      </w:r>
      <w:r>
        <w:rPr>
          <w:b w:val="1"/>
          <w:bCs w:val="1"/>
        </w:rPr>
        <w:t xml:space="preserve">hundred forty and four thousand</w:t>
      </w:r>
      <w:r>
        <w:rPr/>
        <w:t xml:space="preserve"> </w:t>
      </w:r>
      <w:r>
        <w:rPr>
          <w:color w:val="4A6FA5"/>
          <w:sz w:val="18"/>
          <w:szCs w:val="18"/>
        </w:rPr>
        <w:t xml:space="preserve"> (e</w:t>
      </w:r>
      <w:r>
        <w:rPr>
          <w:rStyle w:val="FootnoteReference"/>
        </w:rPr>
        <w:footnoteReference w:id="482"/>
      </w:r>
      <w:r>
        <w:rPr>
          <w:color w:val="4A6FA5"/>
          <w:sz w:val="18"/>
          <w:szCs w:val="18"/>
        </w:rPr>
        <w:t xml:space="preserve">) </w:t>
      </w:r>
      <w:r>
        <w:rPr/>
        <w:t xml:space="preserve"> </w:t>
      </w:r>
      <w:r>
        <w:rPr>
          <w:rStyle w:val="FootnoteReference"/>
        </w:rPr>
        <w:footnoteReference w:id="483"/>
      </w:r>
      <w:r>
        <w:rPr/>
        <w:t xml:space="preserve">, having </w:t>
      </w:r>
      <w:r>
        <w:rPr>
          <w:b w:val="1"/>
          <w:bCs w:val="1"/>
        </w:rPr>
        <w:t xml:space="preserve">his name and the name of the Father</w:t>
      </w:r>
      <w:r>
        <w:rPr/>
        <w:t xml:space="preserve"> </w:t>
      </w:r>
      <w:r>
        <w:rPr>
          <w:color w:val="4A6FA5"/>
          <w:sz w:val="18"/>
          <w:szCs w:val="18"/>
        </w:rPr>
        <w:t xml:space="preserve"> (fn</w:t>
      </w:r>
      <w:r>
        <w:rPr>
          <w:rStyle w:val="FootnoteReference"/>
        </w:rPr>
        <w:footnoteReference w:id="484"/>
      </w:r>
      <w:r>
        <w:rPr>
          <w:color w:val="4A6FA5"/>
          <w:sz w:val="18"/>
          <w:szCs w:val="18"/>
        </w:rPr>
        <w:t xml:space="preserve">) </w:t>
      </w:r>
      <w:r>
        <w:rPr/>
        <w:t xml:space="preserve"> written in their </w:t>
      </w:r>
      <w:r>
        <w:rPr>
          <w:b w:val="1"/>
          <w:bCs w:val="1"/>
        </w:rPr>
        <w:t xml:space="preserve">foreheads</w:t>
      </w:r>
      <w:r>
        <w:rPr/>
        <w:t xml:space="preserve"> </w:t>
      </w:r>
      <w:r>
        <w:rPr>
          <w:rStyle w:val="FootnoteReference"/>
        </w:rPr>
        <w:footnoteReference w:id="485"/>
      </w:r>
      <w:r>
        <w:rPr/>
        <w:t xml:space="preserve"> </w:t>
      </w:r>
      <w:r>
        <w:rPr>
          <w:rStyle w:val="FootnoteReference"/>
        </w:rPr>
        <w:footnoteReference w:id="486"/>
      </w:r>
      <w:r>
        <w:rPr/>
        <w:t xml:space="preserve"> </w:t>
      </w:r>
      <w:r>
        <w:rPr>
          <w:rStyle w:val="FootnoteReference"/>
        </w:rPr>
        <w:footnoteReference w:id="487"/>
      </w:r>
      <w:r>
        <w:rPr/>
        <w:t xml:space="preserve">.</w:t>
      </w:r>
    </w:p>
    <w:p>
      <w:pPr>
        <w:jc w:val="left"/>
        <w:ind w:left="360" w:right="0" w:firstLine="0" w:hanging="0"/>
        <w:spacing w:after="60"/>
      </w:pPr>
      <w:r>
        <w:rPr>
          <w:sz w:val="18"/>
          <w:szCs w:val="18"/>
          <w:i w:val="1"/>
          <w:iCs w:val="1"/>
        </w:rPr>
        <w:t xml:space="preserve">[fn] In early manuscripts like Sinaiticus, it says that the 144,000 have the Lamb's and the Father's names. So, the ESV includes the Lamb's name. The KJV does not include the name of the Lamb.</w:t>
      </w:r>
    </w:p>
    <w:p>
      <w:pPr>
        <w:spacing w:after="150"/>
      </w:pPr>
      <w:r>
        <w:rPr/>
        <w:t xml:space="preserve"/>
      </w:r>
    </w:p>
    <w:p>
      <w:pPr>
        <w:pStyle w:val="Heading3"/>
      </w:pPr>
      <w:bookmarkStart w:id="69" w:name="_Toc69"/>
      <w:r>
        <w:t>Harpers’ Hidden Song</w:t>
      </w:r>
      <w:bookmarkEnd w:id="69"/>
    </w:p>
    <w:p>
      <w:pPr>
        <w:pStyle w:val="SectionBody"/>
      </w:pPr>
      <w:r>
        <w:rPr>
          <w:b w:val="1"/>
          <w:bCs w:val="1"/>
        </w:rPr>
        <w:t xml:space="preserve">Important Note</w:t>
      </w:r>
      <w:r>
        <w:rPr/>
        <w:t xml:space="preserve">: Revelation 14:2 may be understood either as a single unified voice—likely the harpers—based on established voice-recognition patterns in Revelation 4:1 and 10:8, or as two distinct auditory elements: a heavenly voice and the sound of harpers from the same place. While the grammar allows both readings, depending on your manuscript, the broader textual evidence leans slightly toward a unified heavenly sound; however, it remains notable that the singular expression “a great thunder” is used to describe what would be a collective group, whereas elsewhere (e.g., Revelation 19:6) plural “thunders” are associated with a multitude—making 14:2 a uniquely compressed construction where a singular descriptor is applied to a plural sound.</w:t>
      </w:r>
    </w:p>
    <w:p>
      <w:pPr>
        <w:spacing w:after="150"/>
      </w:pPr>
      <w:r>
        <w:rPr/>
        <w:t xml:space="preserve"/>
      </w:r>
    </w:p>
    <w:p>
      <w:pPr>
        <w:pStyle w:val="BodyVerse"/>
      </w:pPr>
      <w:r>
        <w:rPr>
          <w:b w:val="1"/>
          <w:bCs w:val="1"/>
        </w:rPr>
        <w:t xml:space="preserve">[[@Bible:Re 14:2]] </w:t>
      </w:r>
      <w:r>
        <w:rPr>
          <w:sz w:val="22"/>
          <w:szCs w:val="22"/>
          <w:b w:val="1"/>
          <w:bCs w:val="1"/>
          <w:vertAlign w:val="superscript"/>
        </w:rPr>
        <w:t xml:space="preserve">2  </w:t>
      </w:r>
      <w:r>
        <w:rPr/>
        <w:t xml:space="preserve">And I heard a </w:t>
      </w:r>
      <w:r>
        <w:rPr>
          <w:b w:val="1"/>
          <w:bCs w:val="1"/>
        </w:rPr>
        <w:t xml:space="preserve">voice from heaven</w:t>
      </w:r>
      <w:r>
        <w:rPr/>
        <w:t xml:space="preserve"> </w:t>
      </w:r>
      <w:r>
        <w:rPr>
          <w:rStyle w:val="FootnoteReference"/>
        </w:rPr>
        <w:footnoteReference w:id="488"/>
      </w:r>
      <w:r>
        <w:rPr/>
        <w:t xml:space="preserve">, as the </w:t>
      </w:r>
      <w:r>
        <w:rPr>
          <w:b w:val="1"/>
          <w:bCs w:val="1"/>
        </w:rPr>
        <w:t xml:space="preserve">voice of many waters</w:t>
      </w:r>
      <w:r>
        <w:rPr/>
        <w:t xml:space="preserve"> </w:t>
      </w:r>
      <w:r>
        <w:rPr>
          <w:rStyle w:val="FootnoteReference"/>
        </w:rPr>
        <w:footnoteReference w:id="489"/>
      </w:r>
      <w:r>
        <w:rPr/>
        <w:t xml:space="preserve">, and as the voice of a great </w:t>
      </w:r>
      <w:r>
        <w:rPr>
          <w:b w:val="1"/>
          <w:bCs w:val="1"/>
        </w:rPr>
        <w:t xml:space="preserve">thunder</w:t>
      </w:r>
      <w:r>
        <w:rPr/>
        <w:t xml:space="preserve"> </w:t>
      </w:r>
      <w:r>
        <w:rPr>
          <w:rStyle w:val="FootnoteReference"/>
        </w:rPr>
        <w:footnoteReference w:id="490"/>
      </w:r>
      <w:r>
        <w:rPr/>
        <w:t xml:space="preserve">: and the voice I heard was </w:t>
      </w:r>
      <w:r>
        <w:rPr>
          <w:i w:val="1"/>
          <w:iCs w:val="1"/>
        </w:rPr>
        <w:t xml:space="preserve">[like]</w:t>
      </w:r>
      <w:r>
        <w:rPr/>
        <w:t xml:space="preserve"> </w:t>
      </w:r>
      <w:r>
        <w:rPr>
          <w:b w:val="1"/>
          <w:bCs w:val="1"/>
        </w:rPr>
        <w:t xml:space="preserve">harpers</w:t>
      </w:r>
      <w:r>
        <w:rPr/>
        <w:t xml:space="preserve"> harping with their harps </w:t>
      </w:r>
      <w:r>
        <w:rPr>
          <w:rStyle w:val="FootnoteReference"/>
        </w:rPr>
        <w:footnoteReference w:id="491"/>
      </w:r>
      <w:r>
        <w:rPr/>
        <w:t xml:space="preserve">:</w:t>
      </w:r>
    </w:p>
    <w:p>
      <w:pPr>
        <w:jc w:val="left"/>
        <w:ind w:left="360" w:right="0" w:firstLine="0" w:hanging="0"/>
        <w:spacing w:after="60"/>
      </w:pPr>
      <w:r>
        <w:rPr>
          <w:sz w:val="18"/>
          <w:szCs w:val="18"/>
          <w:i w:val="1"/>
          <w:iCs w:val="1"/>
        </w:rPr>
        <w:t xml:space="preserve">[fn] I have not been able to locate anywhere in Revelation, much less the New Testament, where a collective group is described by a comparison using a singular noun with a singular adjective, yet in Revelation 14:2 we see just that—“the sound of a great thunder” in relation to the harpers—whereas in 19:6 a group is described with plural “thunders,” suggesting something more may be occurring here, though it is safest not to press the distinction too far; it may indicate either a unified voice from the harpers or two distinct heavenly sounds, one from the harpers and another like thunder, also described as the voice of many waters.</w:t>
      </w:r>
    </w:p>
    <w:p>
      <w:pPr>
        <w:spacing w:after="150"/>
      </w:pPr>
      <w:r>
        <w:rPr/>
        <w:t xml:space="preserve"/>
      </w:r>
    </w:p>
    <w:p>
      <w:pPr>
        <w:pStyle w:val="Heading3"/>
      </w:pPr>
      <w:bookmarkStart w:id="70" w:name="_Toc70"/>
      <w:r>
        <w:t>Harpers’ New Song</w:t>
      </w:r>
      <w:bookmarkEnd w:id="70"/>
    </w:p>
    <w:p>
      <w:pPr>
        <w:pStyle w:val="SectionBody"/>
      </w:pPr>
      <w:r>
        <w:rPr>
          <w:b w:val="1"/>
          <w:bCs w:val="1"/>
        </w:rPr>
        <w:t xml:space="preserve">Important Note</w:t>
      </w:r>
      <w:r>
        <w:rPr/>
        <w:t xml:space="preserve">: This “new song” is likely similar to the one in Revelation 5, where the four living creatures and the twenty-four elders are present, and redeemed persons are also included in the scene. The wording here suggests continuity in theme and setting.</w:t>
      </w:r>
    </w:p>
    <w:p>
      <w:pPr>
        <w:spacing w:after="150"/>
      </w:pPr>
      <w:r>
        <w:rPr/>
        <w:t xml:space="preserve"/>
      </w:r>
    </w:p>
    <w:p>
      <w:pPr>
        <w:pStyle w:val="BodyVerse"/>
      </w:pPr>
      <w:r>
        <w:rPr>
          <w:b w:val="1"/>
          <w:bCs w:val="1"/>
        </w:rPr>
        <w:t xml:space="preserve">[[@Bible:Re 14:3]] </w:t>
      </w:r>
      <w:r>
        <w:rPr>
          <w:sz w:val="22"/>
          <w:szCs w:val="22"/>
          <w:b w:val="1"/>
          <w:bCs w:val="1"/>
          <w:vertAlign w:val="superscript"/>
        </w:rPr>
        <w:t xml:space="preserve">3  </w:t>
      </w:r>
      <w:r>
        <w:rPr/>
        <w:t xml:space="preserve">And they sung </w:t>
      </w:r>
      <w:r>
        <w:rPr>
          <w:i w:val="1"/>
          <w:iCs w:val="1"/>
        </w:rPr>
        <w:t xml:space="preserve">[as it were]</w:t>
      </w:r>
      <w:r>
        <w:rPr/>
        <w:t xml:space="preserve"> a </w:t>
      </w:r>
      <w:r>
        <w:rPr>
          <w:b w:val="1"/>
          <w:bCs w:val="1"/>
        </w:rPr>
        <w:t xml:space="preserve">new song</w:t>
      </w:r>
      <w:r>
        <w:rPr/>
        <w:t xml:space="preserve"> </w:t>
      </w:r>
      <w:r>
        <w:rPr>
          <w:color w:val="4A6FA5"/>
          <w:sz w:val="18"/>
          <w:szCs w:val="18"/>
        </w:rPr>
        <w:t xml:space="preserve"> (s</w:t>
      </w:r>
      <w:r>
        <w:rPr>
          <w:rStyle w:val="FootnoteReference"/>
        </w:rPr>
        <w:footnoteReference w:id="492"/>
      </w:r>
      <w:r>
        <w:rPr>
          <w:color w:val="4A6FA5"/>
          <w:sz w:val="18"/>
          <w:szCs w:val="18"/>
        </w:rPr>
        <w:t xml:space="preserve">) </w:t>
      </w:r>
      <w:r>
        <w:rPr/>
        <w:t xml:space="preserve"> before the </w:t>
      </w:r>
      <w:r>
        <w:rPr>
          <w:b w:val="1"/>
          <w:bCs w:val="1"/>
        </w:rPr>
        <w:t xml:space="preserve">throne</w:t>
      </w:r>
      <w:r>
        <w:rPr/>
        <w:t xml:space="preserve"> , and before the four </w:t>
      </w:r>
      <w:r>
        <w:rPr>
          <w:b w:val="1"/>
          <w:bCs w:val="1"/>
        </w:rPr>
        <w:t xml:space="preserve">beasts</w:t>
      </w:r>
      <w:r>
        <w:rPr/>
        <w:t xml:space="preserve"> </w:t>
      </w:r>
      <w:r>
        <w:rPr>
          <w:rStyle w:val="FootnoteReference"/>
        </w:rPr>
        <w:footnoteReference w:id="493"/>
      </w:r>
      <w:r>
        <w:rPr/>
        <w:t xml:space="preserve">, and the </w:t>
      </w:r>
      <w:r>
        <w:rPr>
          <w:b w:val="1"/>
          <w:bCs w:val="1"/>
        </w:rPr>
        <w:t xml:space="preserve">elders</w:t>
      </w:r>
      <w:r>
        <w:rPr/>
        <w:t xml:space="preserve"> </w:t>
      </w:r>
      <w:r>
        <w:rPr>
          <w:rStyle w:val="FootnoteReference"/>
        </w:rPr>
        <w:footnoteReference w:id="494"/>
      </w:r>
      <w:r>
        <w:rPr/>
        <w:t xml:space="preserve">: and none could learn that song but the </w:t>
      </w:r>
      <w:r>
        <w:rPr>
          <w:b w:val="1"/>
          <w:bCs w:val="1"/>
        </w:rPr>
        <w:t xml:space="preserve">hundred and forty and four thousand</w:t>
      </w:r>
      <w:r>
        <w:rPr/>
        <w:t xml:space="preserve"> </w:t>
      </w:r>
      <w:r>
        <w:rPr>
          <w:rStyle w:val="FootnoteReference"/>
        </w:rPr>
        <w:footnoteReference w:id="495"/>
      </w:r>
      <w:r>
        <w:rPr/>
        <w:t xml:space="preserve">, who were </w:t>
      </w:r>
      <w:r>
        <w:rPr>
          <w:b w:val="1"/>
          <w:bCs w:val="1"/>
        </w:rPr>
        <w:t xml:space="preserve">redeemed</w:t>
      </w:r>
      <w:r>
        <w:rPr/>
        <w:t xml:space="preserve"> </w:t>
      </w:r>
      <w:r>
        <w:rPr>
          <w:color w:val="4A6FA5"/>
          <w:sz w:val="18"/>
          <w:szCs w:val="18"/>
        </w:rPr>
        <w:t xml:space="preserve"> (v</w:t>
      </w:r>
      <w:r>
        <w:rPr>
          <w:rStyle w:val="FootnoteReference"/>
        </w:rPr>
        <w:footnoteReference w:id="496"/>
      </w:r>
      <w:r>
        <w:rPr>
          <w:color w:val="4A6FA5"/>
          <w:sz w:val="18"/>
          <w:szCs w:val="18"/>
        </w:rPr>
        <w:t xml:space="preserve">) </w:t>
      </w:r>
      <w:r>
        <w:rPr/>
        <w:t xml:space="preserve"> from the earth.</w:t>
      </w:r>
    </w:p>
    <w:p>
      <w:pPr>
        <w:jc w:val="left"/>
        <w:ind w:left="360" w:right="0" w:firstLine="0" w:hanging="0"/>
        <w:spacing w:after="60"/>
      </w:pPr>
      <w:r>
        <w:rPr>
          <w:sz w:val="18"/>
          <w:szCs w:val="18"/>
          <w:i w:val="1"/>
          <w:iCs w:val="1"/>
        </w:rPr>
        <w:t xml:space="preserve">[fn] "redeemed", in TR and CT, the Greek word is ηγορασμενοι. In Revelation 5 the KJV renders this word the same "redeemed", the ESV does not.</w:t>
      </w:r>
    </w:p>
    <w:p>
      <w:pPr>
        <w:jc w:val="left"/>
        <w:ind w:left="360" w:right="0" w:firstLine="0" w:hanging="0"/>
        <w:spacing w:after="60"/>
      </w:pPr>
      <w:r>
        <w:rPr>
          <w:sz w:val="18"/>
          <w:szCs w:val="18"/>
          <w:i w:val="1"/>
          <w:iCs w:val="1"/>
        </w:rPr>
        <w:t xml:space="preserve">[fn] ωδην καινην – a new song.</w:t>
      </w:r>
    </w:p>
    <w:p>
      <w:pPr>
        <w:spacing w:after="150"/>
      </w:pPr>
      <w:r>
        <w:rPr/>
        <w:t xml:space="preserve"/>
      </w:r>
    </w:p>
    <w:p>
      <w:pPr>
        <w:pStyle w:val="Heading3"/>
      </w:pPr>
      <w:bookmarkStart w:id="71" w:name="_Toc71"/>
      <w:r>
        <w:t>Redeemed Virgin Firstfruits</w:t>
      </w:r>
      <w:bookmarkEnd w:id="71"/>
    </w:p>
    <w:p>
      <w:pPr>
        <w:pStyle w:val="BodyVerse"/>
      </w:pPr>
      <w:r>
        <w:rPr>
          <w:b w:val="1"/>
          <w:bCs w:val="1"/>
        </w:rPr>
        <w:t xml:space="preserve">[[@Bible:Re 14:4]] </w:t>
      </w:r>
      <w:r>
        <w:rPr>
          <w:sz w:val="22"/>
          <w:szCs w:val="22"/>
          <w:b w:val="1"/>
          <w:bCs w:val="1"/>
          <w:vertAlign w:val="superscript"/>
        </w:rPr>
        <w:t xml:space="preserve">4  </w:t>
      </w:r>
      <w:r>
        <w:rPr/>
        <w:t xml:space="preserve">These are those who were not defiled with women; for </w:t>
      </w:r>
      <w:r>
        <w:rPr>
          <w:b w:val="1"/>
          <w:bCs w:val="1"/>
        </w:rPr>
        <w:t xml:space="preserve">they are virgins</w:t>
      </w:r>
      <w:r>
        <w:rPr/>
        <w:t xml:space="preserve"> </w:t>
      </w:r>
      <w:r>
        <w:rPr>
          <w:rStyle w:val="FootnoteReference"/>
        </w:rPr>
        <w:footnoteReference w:id="497"/>
      </w:r>
      <w:r>
        <w:rPr/>
        <w:t xml:space="preserve">. These are they who </w:t>
      </w:r>
      <w:r>
        <w:rPr>
          <w:b w:val="1"/>
          <w:bCs w:val="1"/>
        </w:rPr>
        <w:t xml:space="preserve">follow the Lamb wherever he goes</w:t>
      </w:r>
      <w:r>
        <w:rPr/>
        <w:t xml:space="preserve"> </w:t>
      </w:r>
      <w:r>
        <w:rPr>
          <w:rStyle w:val="FootnoteReference"/>
        </w:rPr>
        <w:footnoteReference w:id="498"/>
      </w:r>
      <w:r>
        <w:rPr/>
        <w:t xml:space="preserve">. These were </w:t>
      </w:r>
      <w:r>
        <w:rPr>
          <w:b w:val="1"/>
          <w:bCs w:val="1"/>
        </w:rPr>
        <w:t xml:space="preserve">redeemed</w:t>
      </w:r>
      <w:r>
        <w:rPr/>
        <w:t xml:space="preserve"> </w:t>
      </w:r>
      <w:r>
        <w:rPr>
          <w:color w:val="4A6FA5"/>
          <w:sz w:val="18"/>
          <w:szCs w:val="18"/>
        </w:rPr>
        <w:t xml:space="preserve"> (v</w:t>
      </w:r>
      <w:r>
        <w:rPr>
          <w:rStyle w:val="FootnoteReference"/>
        </w:rPr>
        <w:footnoteReference w:id="499"/>
      </w:r>
      <w:r>
        <w:rPr>
          <w:color w:val="4A6FA5"/>
          <w:sz w:val="18"/>
          <w:szCs w:val="18"/>
        </w:rPr>
        <w:t xml:space="preserve">) </w:t>
      </w:r>
      <w:r>
        <w:rPr/>
        <w:t xml:space="preserve"> from among men, being the firstfruits unto God and to the Lamb.</w:t>
      </w:r>
    </w:p>
    <w:p>
      <w:pPr>
        <w:pStyle w:val="BodyVerse"/>
      </w:pPr>
      <w:r>
        <w:rPr>
          <w:b w:val="1"/>
          <w:bCs w:val="1"/>
        </w:rPr>
        <w:t xml:space="preserve">[[@Bible:Re 14:5]] </w:t>
      </w:r>
      <w:r>
        <w:rPr>
          <w:sz w:val="22"/>
          <w:szCs w:val="22"/>
          <w:b w:val="1"/>
          <w:bCs w:val="1"/>
          <w:vertAlign w:val="superscript"/>
        </w:rPr>
        <w:t xml:space="preserve">5  </w:t>
      </w:r>
      <w:r>
        <w:rPr/>
        <w:t xml:space="preserve">And in their mouth was found no guile: for they are without fault before the throne of God.</w:t>
      </w:r>
    </w:p>
    <w:p>
      <w:pPr>
        <w:jc w:val="left"/>
        <w:ind w:left="360" w:right="0" w:firstLine="0" w:hanging="0"/>
        <w:spacing w:after="60"/>
      </w:pPr>
      <w:r>
        <w:rPr>
          <w:sz w:val="18"/>
          <w:szCs w:val="18"/>
          <w:i w:val="1"/>
          <w:iCs w:val="1"/>
        </w:rPr>
        <w:t xml:space="preserve">[fn] Zephaniah 3:12-13 is an interesting verse.</w:t>
      </w:r>
    </w:p>
    <w:p>
      <w:pPr>
        <w:spacing w:after="150"/>
      </w:pPr>
      <w:r>
        <w:rPr/>
        <w:t xml:space="preserve"/>
      </w:r>
    </w:p>
    <w:p>
      <w:pPr>
        <w:pStyle w:val="Heading3"/>
      </w:pPr>
      <w:bookmarkStart w:id="72" w:name="_Toc72"/>
      <w:r>
        <w:t>Message One - Everlasting Gospel</w:t>
      </w:r>
      <w:bookmarkEnd w:id="72"/>
    </w:p>
    <w:p>
      <w:pPr>
        <w:pStyle w:val="BodyVerse"/>
      </w:pPr>
      <w:r>
        <w:rPr>
          <w:b w:val="1"/>
          <w:bCs w:val="1"/>
        </w:rPr>
        <w:t xml:space="preserve">[[@Bible:Re 14:6]] </w:t>
      </w:r>
      <w:r>
        <w:rPr>
          <w:sz w:val="22"/>
          <w:szCs w:val="22"/>
          <w:b w:val="1"/>
          <w:bCs w:val="1"/>
          <w:vertAlign w:val="superscript"/>
        </w:rPr>
        <w:t xml:space="preserve">6  </w:t>
      </w:r>
      <w:r>
        <w:rPr/>
        <w:t xml:space="preserve">And I saw another messenger fly in the midst of heaven, having the </w:t>
      </w:r>
      <w:r>
        <w:rPr>
          <w:b w:val="1"/>
          <w:bCs w:val="1"/>
        </w:rPr>
        <w:t xml:space="preserve">everlasting gospel</w:t>
      </w:r>
      <w:r>
        <w:rPr/>
        <w:t xml:space="preserve"> </w:t>
      </w:r>
      <w:r>
        <w:rPr>
          <w:rStyle w:val="FootnoteReference"/>
        </w:rPr>
        <w:footnoteReference w:id="500"/>
      </w:r>
      <w:r>
        <w:rPr/>
        <w:t xml:space="preserve"> to proclaim unto those who dwell on the earth, and to every </w:t>
      </w:r>
      <w:r>
        <w:rPr>
          <w:b w:val="1"/>
          <w:bCs w:val="1"/>
        </w:rPr>
        <w:t xml:space="preserve">nation, and kindred, and tongue, and people</w:t>
      </w:r>
      <w:r>
        <w:rPr/>
        <w:t xml:space="preserve"> </w:t>
      </w:r>
      <w:r>
        <w:rPr>
          <w:rStyle w:val="FootnoteReference"/>
        </w:rPr>
        <w:footnoteReference w:id="501"/>
      </w:r>
      <w:r>
        <w:rPr/>
        <w:t xml:space="preserve">,</w:t>
      </w:r>
    </w:p>
    <w:p>
      <w:pPr>
        <w:pStyle w:val="BodyVerse"/>
      </w:pPr>
      <w:r>
        <w:rPr>
          <w:b w:val="1"/>
          <w:bCs w:val="1"/>
        </w:rPr>
        <w:t xml:space="preserve">[[@Bible:Re 14:7]] </w:t>
      </w:r>
      <w:r>
        <w:rPr>
          <w:sz w:val="22"/>
          <w:szCs w:val="22"/>
          <w:b w:val="1"/>
          <w:bCs w:val="1"/>
          <w:vertAlign w:val="superscript"/>
        </w:rPr>
        <w:t xml:space="preserve">7  </w:t>
      </w:r>
      <w:r>
        <w:rPr/>
        <w:t xml:space="preserve">Saying with a great voice, </w:t>
      </w:r>
      <w:r>
        <w:rPr>
          <w:b w:val="1"/>
          <w:bCs w:val="1"/>
        </w:rPr>
        <w:t xml:space="preserve">Fear God</w:t>
      </w:r>
      <w:r>
        <w:rPr/>
        <w:t xml:space="preserve"> </w:t>
      </w:r>
      <w:r>
        <w:rPr>
          <w:rStyle w:val="FootnoteReference"/>
        </w:rPr>
        <w:footnoteReference w:id="502"/>
      </w:r>
      <w:r>
        <w:rPr/>
        <w:t xml:space="preserve">, and give glory to him; for the </w:t>
      </w:r>
      <w:r>
        <w:rPr>
          <w:b w:val="1"/>
          <w:bCs w:val="1"/>
        </w:rPr>
        <w:t xml:space="preserve">hour of his judgment</w:t>
      </w:r>
      <w:r>
        <w:rPr/>
        <w:t xml:space="preserve"> </w:t>
      </w:r>
      <w:r>
        <w:rPr>
          <w:rStyle w:val="FootnoteReference"/>
        </w:rPr>
        <w:footnoteReference w:id="503"/>
      </w:r>
      <w:r>
        <w:rPr/>
        <w:t xml:space="preserve"> is come: and </w:t>
      </w:r>
      <w:r>
        <w:rPr>
          <w:b w:val="1"/>
          <w:bCs w:val="1"/>
        </w:rPr>
        <w:t xml:space="preserve">worship him</w:t>
      </w:r>
      <w:r>
        <w:rPr/>
        <w:t xml:space="preserve"> </w:t>
      </w:r>
      <w:r>
        <w:rPr>
          <w:rStyle w:val="FootnoteReference"/>
        </w:rPr>
        <w:footnoteReference w:id="504"/>
      </w:r>
      <w:r>
        <w:rPr/>
        <w:t xml:space="preserve"> </w:t>
      </w:r>
      <w:r>
        <w:rPr>
          <w:b w:val="1"/>
          <w:bCs w:val="1"/>
        </w:rPr>
        <w:t xml:space="preserve">who made heaven, and earth, and the sea, and the fountains of waters</w:t>
      </w:r>
      <w:r>
        <w:rPr/>
        <w:t xml:space="preserve"> </w:t>
      </w:r>
      <w:r>
        <w:rPr>
          <w:rStyle w:val="FootnoteReference"/>
        </w:rPr>
        <w:footnoteReference w:id="505"/>
      </w:r>
      <w:r>
        <w:rPr/>
        <w:t xml:space="preserve">.</w:t>
      </w:r>
    </w:p>
    <w:p>
      <w:pPr>
        <w:jc w:val="left"/>
        <w:ind w:left="360" w:right="0" w:firstLine="0" w:hanging="0"/>
        <w:spacing w:after="60"/>
      </w:pPr>
      <w:r>
        <w:rPr>
          <w:sz w:val="18"/>
          <w:szCs w:val="18"/>
          <w:i w:val="1"/>
          <w:iCs w:val="1"/>
        </w:rPr>
        <w:t xml:space="preserve">[fn] Here we see the command to worship God in contrast to the worship of the beast. This seems to bookend the three messages from the three messengers.</w:t>
      </w:r>
    </w:p>
    <w:p>
      <w:pPr>
        <w:spacing w:after="150"/>
      </w:pPr>
      <w:r>
        <w:rPr/>
        <w:t xml:space="preserve"/>
      </w:r>
    </w:p>
    <w:p>
      <w:pPr>
        <w:pStyle w:val="Heading3"/>
      </w:pPr>
      <w:bookmarkStart w:id="73" w:name="_Toc73"/>
      <w:r>
        <w:t>Message Two - Mystery Babylon: Is Fallen, Is Fallen</w:t>
      </w:r>
      <w:bookmarkEnd w:id="73"/>
    </w:p>
    <w:p>
      <w:pPr>
        <w:pStyle w:val="SectionBody"/>
      </w:pPr>
      <w:r>
        <w:rPr>
          <w:b w:val="1"/>
          <w:bCs w:val="1"/>
        </w:rPr>
        <w:t xml:space="preserve">Important Note:</w:t>
      </w:r>
      <w:r>
        <w:rPr/>
        <w:t xml:space="preserve"> In Revelation 7, we see the 144,000 getting the seal and the "immense multitude, which none could number" who "came out of great tribulation" just after their sealing. We also see in Chapter 18, when Mystery Babylon falls with the phrase "is fallen, is fallen" a voice then says, "Come out of her, my people". This "come and came out" might be speaking of the same people.</w:t>
      </w:r>
    </w:p>
    <w:p>
      <w:pPr>
        <w:pStyle w:val="SectionBody"/>
      </w:pPr>
      <w:r>
        <w:rPr/>
        <w:t xml:space="preserve">Therefore, when we see the same phrase "is fallen, is fallen" here (linked to Revelation 18:2), we can posit that all the intervening events (the immense multitude coming out and the fall of Mystery Babylon) are happening near the same time. Right after the gospel is preached to the whole world by the messenger.</w:t>
      </w:r>
    </w:p>
    <w:p>
      <w:pPr>
        <w:spacing w:after="150"/>
      </w:pPr>
      <w:r>
        <w:rPr/>
        <w:t xml:space="preserve"/>
      </w:r>
    </w:p>
    <w:p>
      <w:pPr>
        <w:pStyle w:val="BodyVerse"/>
      </w:pPr>
      <w:r>
        <w:rPr>
          <w:b w:val="1"/>
          <w:bCs w:val="1"/>
        </w:rPr>
        <w:t xml:space="preserve">[[@Bible:Re 14:8]] </w:t>
      </w:r>
      <w:r>
        <w:rPr>
          <w:sz w:val="22"/>
          <w:szCs w:val="22"/>
          <w:b w:val="1"/>
          <w:bCs w:val="1"/>
          <w:vertAlign w:val="superscript"/>
        </w:rPr>
        <w:t xml:space="preserve">8  </w:t>
      </w:r>
      <w:r>
        <w:rPr/>
        <w:t xml:space="preserve">And another </w:t>
      </w:r>
      <w:r>
        <w:rPr>
          <w:b w:val="1"/>
          <w:bCs w:val="1"/>
        </w:rPr>
        <w:t xml:space="preserve">messenger</w:t>
      </w:r>
      <w:r>
        <w:rPr/>
        <w:t xml:space="preserve"> </w:t>
      </w:r>
      <w:r>
        <w:rPr>
          <w:color w:val="4A6FA5"/>
          <w:sz w:val="18"/>
          <w:szCs w:val="18"/>
        </w:rPr>
        <w:t xml:space="preserve"> (j</w:t>
      </w:r>
      <w:r>
        <w:rPr>
          <w:rStyle w:val="FootnoteReference"/>
        </w:rPr>
        <w:footnoteReference w:id="506"/>
      </w:r>
      <w:r>
        <w:rPr>
          <w:color w:val="4A6FA5"/>
          <w:sz w:val="18"/>
          <w:szCs w:val="18"/>
        </w:rPr>
        <w:t xml:space="preserve">) </w:t>
      </w:r>
      <w:r>
        <w:rPr/>
        <w:t xml:space="preserve">, a second,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507"/>
      </w:r>
      <w:r>
        <w:rPr>
          <w:color w:val="4A6FA5"/>
          <w:sz w:val="18"/>
          <w:szCs w:val="18"/>
        </w:rPr>
        <w:t xml:space="preserve">) </w:t>
      </w:r>
      <w:r>
        <w:rPr/>
        <w:t xml:space="preserve"> </w:t>
      </w:r>
      <w:r>
        <w:rPr>
          <w:rStyle w:val="FootnoteReference"/>
        </w:rPr>
        <w:footnoteReference w:id="508"/>
      </w:r>
      <w:r>
        <w:rPr/>
        <w:t xml:space="preserve">, she who made all nations </w:t>
      </w:r>
      <w:r>
        <w:rPr>
          <w:b w:val="1"/>
          <w:bCs w:val="1"/>
        </w:rPr>
        <w:t xml:space="preserve">drink of the wine of the wrath of her fornication</w:t>
      </w:r>
      <w:r>
        <w:rPr/>
        <w:t xml:space="preserve"> </w:t>
      </w:r>
      <w:r>
        <w:rPr>
          <w:rStyle w:val="FootnoteReference"/>
        </w:rPr>
        <w:footnoteReference w:id="509"/>
      </w:r>
      <w:r>
        <w:rPr/>
        <w:t xml:space="preserve">.</w:t>
      </w:r>
    </w:p>
    <w:p>
      <w:pPr>
        <w:jc w:val="left"/>
        <w:ind w:left="360" w:right="0" w:firstLine="0" w:hanging="0"/>
        <w:spacing w:after="60"/>
      </w:pPr>
      <w:r>
        <w:rPr>
          <w:sz w:val="18"/>
          <w:szCs w:val="18"/>
          <w:i w:val="1"/>
          <w:iCs w:val="1"/>
        </w:rPr>
        <w:t xml:space="preserve">[fn] In some manuscripts δευτερος or "a second" is included, which appears to be correct — the TR does not have that text in the Greek. Also, the TR includes οτι, which is translated "because", but that text is not present in the Nestle-Aland, thus the ESV and NASB exclude it.</w:t>
      </w:r>
    </w:p>
    <w:p>
      <w:pPr>
        <w:jc w:val="left"/>
        <w:ind w:left="360" w:right="0" w:firstLine="0" w:hanging="0"/>
        <w:spacing w:after="60"/>
      </w:pPr>
      <w:r>
        <w:rPr>
          <w:sz w:val="18"/>
          <w:szCs w:val="18"/>
          <w:i w:val="1"/>
          <w:iCs w:val="1"/>
        </w:rPr>
        <w:t xml:space="preserve">[fn] The text deliberately minimizes the individual identity of this messenger, assigning it numbers rather than a name, emphasizing what it proclaims rather than who it is. Therefore, we should not attempt to determine who these angels are from the context of Revelation 14, the passage directs our attention entirely to the message of numbered angels.</w:t>
      </w:r>
    </w:p>
    <w:p>
      <w:pPr>
        <w:spacing w:after="150"/>
      </w:pPr>
      <w:r>
        <w:rPr/>
        <w:t xml:space="preserve"/>
      </w:r>
    </w:p>
    <w:p>
      <w:pPr>
        <w:pStyle w:val="Heading3"/>
      </w:pPr>
      <w:bookmarkStart w:id="74" w:name="_Toc74"/>
      <w:r>
        <w:t>Message Three - Don't Worship the Beast</w:t>
      </w:r>
      <w:bookmarkEnd w:id="74"/>
    </w:p>
    <w:p>
      <w:pPr>
        <w:pStyle w:val="BodyVerse"/>
      </w:pPr>
      <w:r>
        <w:rPr>
          <w:b w:val="1"/>
          <w:bCs w:val="1"/>
        </w:rPr>
        <w:t xml:space="preserve">[[@Bible:Re 14:9]] </w:t>
      </w:r>
      <w:r>
        <w:rPr>
          <w:sz w:val="22"/>
          <w:szCs w:val="22"/>
          <w:b w:val="1"/>
          <w:bCs w:val="1"/>
          <w:vertAlign w:val="superscript"/>
        </w:rPr>
        <w:t xml:space="preserve">9  </w:t>
      </w:r>
      <w:r>
        <w:rPr/>
        <w:t xml:space="preserve">And another messenger, a third, followed them, saying with a great voice, If any man </w:t>
      </w:r>
      <w:r>
        <w:rPr>
          <w:b w:val="1"/>
          <w:bCs w:val="1"/>
        </w:rPr>
        <w:t xml:space="preserve">worship the beast</w:t>
      </w:r>
      <w:r>
        <w:rPr/>
        <w:t xml:space="preserve"> </w:t>
      </w:r>
      <w:r>
        <w:rPr>
          <w:color w:val="4A6FA5"/>
          <w:sz w:val="18"/>
          <w:szCs w:val="18"/>
        </w:rPr>
        <w:t xml:space="preserve"> (wb</w:t>
      </w:r>
      <w:r>
        <w:rPr>
          <w:rStyle w:val="FootnoteReference"/>
        </w:rPr>
        <w:footnoteReference w:id="510"/>
      </w:r>
      <w:r>
        <w:rPr>
          <w:color w:val="4A6FA5"/>
          <w:sz w:val="18"/>
          <w:szCs w:val="18"/>
        </w:rPr>
        <w:t xml:space="preserve">) </w:t>
      </w:r>
      <w:r>
        <w:rPr/>
        <w:t xml:space="preserve"> and his </w:t>
      </w:r>
      <w:r>
        <w:rPr>
          <w:b w:val="1"/>
          <w:bCs w:val="1"/>
        </w:rPr>
        <w:t xml:space="preserve">image</w:t>
      </w:r>
      <w:r>
        <w:rPr/>
        <w:t xml:space="preserve"> </w:t>
      </w:r>
      <w:r>
        <w:rPr>
          <w:rStyle w:val="FootnoteReference"/>
        </w:rPr>
        <w:footnoteReference w:id="511"/>
      </w:r>
      <w:r>
        <w:rPr/>
        <w:t xml:space="preserve">, and receive his </w:t>
      </w:r>
      <w:r>
        <w:rPr>
          <w:b w:val="1"/>
          <w:bCs w:val="1"/>
        </w:rPr>
        <w:t xml:space="preserve">mark</w:t>
      </w:r>
      <w:r>
        <w:rPr/>
        <w:t xml:space="preserve"> </w:t>
      </w:r>
      <w:r>
        <w:rPr>
          <w:rStyle w:val="FootnoteReference"/>
        </w:rPr>
        <w:footnoteReference w:id="512"/>
      </w:r>
      <w:r>
        <w:rPr/>
        <w:t xml:space="preserve"> in his </w:t>
      </w:r>
      <w:r>
        <w:rPr>
          <w:b w:val="1"/>
          <w:bCs w:val="1"/>
        </w:rPr>
        <w:t xml:space="preserve">forehead</w:t>
      </w:r>
      <w:r>
        <w:rPr/>
        <w:t xml:space="preserve"> </w:t>
      </w:r>
      <w:r>
        <w:rPr>
          <w:rStyle w:val="FootnoteReference"/>
        </w:rPr>
        <w:footnoteReference w:id="513"/>
      </w:r>
      <w:r>
        <w:rPr/>
        <w:t xml:space="preserve">, or in his hand,</w:t>
      </w:r>
    </w:p>
    <w:p>
      <w:pPr>
        <w:jc w:val="left"/>
        <w:ind w:left="360" w:right="0" w:firstLine="0" w:hanging="0"/>
        <w:spacing w:after="60"/>
      </w:pPr>
      <w:r>
        <w:rPr>
          <w:sz w:val="18"/>
          <w:szCs w:val="18"/>
          <w:i w:val="1"/>
          <w:iCs w:val="1"/>
        </w:rPr>
        <w:t xml:space="preserve">[fn] This seems to bookend the two types of worship: to God (told by messenger one) or the beast (told by messenger three).</w:t>
      </w:r>
    </w:p>
    <w:p>
      <w:pPr>
        <w:jc w:val="left"/>
        <w:ind w:left="360" w:right="0" w:firstLine="0" w:hanging="0"/>
        <w:spacing w:after="60"/>
      </w:pPr>
      <w:r>
        <w:rPr>
          <w:sz w:val="18"/>
          <w:szCs w:val="18"/>
          <w:i w:val="1"/>
          <w:iCs w:val="1"/>
        </w:rPr>
        <w:t xml:space="preserve">[fn] The third messenger "followed them", meaning it comes after then now with the first two. Thus this third messenger appears to be distinct from the first two and possibly positions the first two together. Possibility: messenger 1 and 2 come out together, messenger 3 follows them later.</w:t>
      </w:r>
    </w:p>
    <w:p>
      <w:pPr>
        <w:jc w:val="left"/>
        <w:ind w:left="360" w:right="0" w:firstLine="0" w:hanging="0"/>
        <w:spacing w:after="60"/>
      </w:pPr>
      <w:r>
        <w:rPr>
          <w:sz w:val="18"/>
          <w:szCs w:val="18"/>
          <w:i w:val="1"/>
          <w:iCs w:val="1"/>
        </w:rPr>
        <w:t xml:space="preserve">[fn] This verse warns against the worship of the beast and the receiving of his mark. If chapter 14 were meant to continue chapters 12–13, this warning would seem awkward, for the worship of the beast would already have been underway for some time. Thus, the warning would appear late and ill-timed. But if chapter 14 is a parenthetical section of its own, and not a continuation of chapters 12–13, as this study suggests (this study suggests chapter 14:9 is a second perspective of 13:4), then the timing of the warning is most fitting, aligning precisely with the initial introduction of the mark.</w:t>
      </w:r>
    </w:p>
    <w:p>
      <w:pPr>
        <w:pStyle w:val="BodyVerse"/>
      </w:pPr>
      <w:r>
        <w:rPr>
          <w:b w:val="1"/>
          <w:bCs w:val="1"/>
        </w:rPr>
        <w:t xml:space="preserve">[[@Bible:Re 14:10]] </w:t>
      </w:r>
      <w:r>
        <w:rPr>
          <w:sz w:val="22"/>
          <w:szCs w:val="22"/>
          <w:b w:val="1"/>
          <w:bCs w:val="1"/>
          <w:vertAlign w:val="superscript"/>
        </w:rPr>
        <w:t xml:space="preserve">10  </w:t>
      </w:r>
      <w:r>
        <w:rPr/>
        <w:t xml:space="preserve">The same </w:t>
      </w:r>
      <w:r>
        <w:rPr>
          <w:b w:val="1"/>
          <w:bCs w:val="1"/>
        </w:rPr>
        <w:t xml:space="preserve">shall drink of the wine of the wrath of God</w:t>
      </w:r>
      <w:r>
        <w:rPr/>
        <w:t xml:space="preserve"> </w:t>
      </w:r>
      <w:r>
        <w:rPr>
          <w:rStyle w:val="FootnoteReference"/>
        </w:rPr>
        <w:footnoteReference w:id="514"/>
      </w:r>
      <w:r>
        <w:rPr/>
        <w:t xml:space="preserve">, which is poured out without mixture into the cup of his indignation; and he shall be tormented with </w:t>
      </w:r>
      <w:r>
        <w:rPr>
          <w:b w:val="1"/>
          <w:bCs w:val="1"/>
        </w:rPr>
        <w:t xml:space="preserve">fire and brimstone</w:t>
      </w:r>
      <w:r>
        <w:rPr/>
        <w:t xml:space="preserve"> </w:t>
      </w:r>
      <w:r>
        <w:rPr>
          <w:rStyle w:val="FootnoteReference"/>
        </w:rPr>
        <w:footnoteReference w:id="515"/>
      </w:r>
      <w:r>
        <w:rPr/>
        <w:t xml:space="preserve"> in the presence of the </w:t>
      </w:r>
      <w:r>
        <w:rPr>
          <w:b w:val="1"/>
          <w:bCs w:val="1"/>
        </w:rPr>
        <w:t xml:space="preserve">holy messengers</w:t>
      </w:r>
      <w:r>
        <w:rPr/>
        <w:t xml:space="preserve"> </w:t>
      </w:r>
      <w:r>
        <w:rPr>
          <w:rStyle w:val="FootnoteReference"/>
        </w:rPr>
        <w:footnoteReference w:id="516"/>
      </w:r>
      <w:r>
        <w:rPr/>
        <w:t xml:space="preserve">, and in the presence of the Lamb:</w:t>
      </w:r>
    </w:p>
    <w:p>
      <w:pPr>
        <w:jc w:val="left"/>
        <w:ind w:left="360" w:right="0" w:firstLine="0" w:hanging="0"/>
        <w:spacing w:after="60"/>
      </w:pPr>
      <w:r>
        <w:rPr>
          <w:sz w:val="18"/>
          <w:szCs w:val="18"/>
          <w:i w:val="1"/>
          <w:iCs w:val="1"/>
        </w:rPr>
        <w:t xml:space="preserve">[fn] VERY IMPORTANT: After the fall of Mystery Babylon, we see that the wine of God's wrath is not given, **it shall be**, so we know Mystery Babylon is not Jerusalem because it is given the cup in Revelation 16.</w:t>
      </w:r>
    </w:p>
    <w:p>
      <w:pPr>
        <w:jc w:val="left"/>
        <w:ind w:left="360" w:right="0" w:firstLine="0" w:hanging="0"/>
        <w:spacing w:after="60"/>
      </w:pPr>
      <w:r>
        <w:rPr>
          <w:sz w:val="18"/>
          <w:szCs w:val="18"/>
          <w:i w:val="1"/>
          <w:iCs w:val="1"/>
        </w:rPr>
        <w:t xml:space="preserve">[fn] The word "holy" is applied to many different things in Revelation, so it cannot serve as a distinguishing marker for interpreting these angels as saints—even though saints are frequently called "holy." In Revelation, "holy" is used of Jesus, the Lord God Almighty, earthly Jerusalem, angels (here), apostles, prophets, those who have part in the first resurrection, the New Jerusalem, and even the one who is holy and remains holy. Because the term is so broadly applied, its presence alone carries little interpretive weight in identifying these figures. They are messengers in a broad sense but likely saints.</w:t>
      </w:r>
    </w:p>
    <w:p>
      <w:pPr>
        <w:pStyle w:val="BodyVerse"/>
      </w:pPr>
      <w:r>
        <w:rPr>
          <w:b w:val="1"/>
          <w:bCs w:val="1"/>
        </w:rPr>
        <w:t xml:space="preserve">[[@Bible:Re 14:11]] </w:t>
      </w:r>
      <w:r>
        <w:rPr>
          <w:sz w:val="22"/>
          <w:szCs w:val="22"/>
          <w:b w:val="1"/>
          <w:bCs w:val="1"/>
          <w:vertAlign w:val="superscript"/>
        </w:rPr>
        <w:t xml:space="preserve">11  </w:t>
      </w:r>
      <w:r>
        <w:rPr/>
        <w:t xml:space="preserve">And the smoke of their torment ascends up forever and ever: and they have no rest day nor night, who worship the beast and his </w:t>
      </w:r>
      <w:r>
        <w:rPr>
          <w:b w:val="1"/>
          <w:bCs w:val="1"/>
        </w:rPr>
        <w:t xml:space="preserve">image</w:t>
      </w:r>
      <w:r>
        <w:rPr/>
        <w:t xml:space="preserve"> </w:t>
      </w:r>
      <w:r>
        <w:rPr>
          <w:rStyle w:val="FootnoteReference"/>
        </w:rPr>
        <w:footnoteReference w:id="517"/>
      </w:r>
      <w:r>
        <w:rPr/>
        <w:t xml:space="preserve">, and whosoever receives the </w:t>
      </w:r>
      <w:r>
        <w:rPr>
          <w:b w:val="1"/>
          <w:bCs w:val="1"/>
        </w:rPr>
        <w:t xml:space="preserve">mark of his name</w:t>
      </w:r>
      <w:r>
        <w:rPr/>
        <w:t xml:space="preserve"> </w:t>
      </w:r>
      <w:r>
        <w:rPr>
          <w:rStyle w:val="FootnoteReference"/>
        </w:rPr>
        <w:footnoteReference w:id="518"/>
      </w:r>
      <w:r>
        <w:rPr/>
        <w:t xml:space="preserve">.</w:t>
      </w:r>
    </w:p>
    <w:p>
      <w:pPr>
        <w:jc w:val="center"/>
        <w:spacing w:before="120" w:after="60"/>
      </w:pPr>
      <w:r>
        <w:rPr>
          <w:sz w:val="36"/>
          <w:szCs w:val="36"/>
          <w:b w:val="1"/>
          <w:bCs w:val="1"/>
        </w:rPr>
        <w:t xml:space="preserve">✶</w:t>
      </w:r>
    </w:p>
    <w:p>
      <w:pPr>
        <w:pStyle w:val="Heading3"/>
      </w:pPr>
      <w:bookmarkStart w:id="75" w:name="_Toc75"/>
      <w:r>
        <w:t>Mid-Tribulation Martyrs Rest</w:t>
      </w:r>
      <w:bookmarkEnd w:id="75"/>
    </w:p>
    <w:p>
      <w:pPr>
        <w:pStyle w:val="SectionBody"/>
      </w:pPr>
      <w:r>
        <w:rPr>
          <w:b w:val="1"/>
          <w:bCs w:val="1"/>
        </w:rPr>
        <w:t xml:space="preserve">Parenthetical Scene 5.2:</w:t>
      </w:r>
      <w:r>
        <w:rPr/>
        <w:t xml:space="preserve"> This appears to start at the 5th seal plague in Revelation 6:9 and at the time of the patience of the saints in Revelation 13:10.</w:t>
      </w:r>
    </w:p>
    <w:p>
      <w:pPr>
        <w:spacing w:after="150"/>
      </w:pPr>
      <w:r>
        <w:rPr/>
        <w:t xml:space="preserve"/>
      </w:r>
    </w:p>
    <w:p>
      <w:pPr>
        <w:pStyle w:val="BodyVerse"/>
      </w:pPr>
      <w:r>
        <w:rPr>
          <w:b w:val="1"/>
          <w:bCs w:val="1"/>
        </w:rPr>
        <w:t xml:space="preserve">[[@Bible:Re 14:12]] </w:t>
      </w:r>
      <w:r>
        <w:rPr>
          <w:sz w:val="22"/>
          <w:szCs w:val="22"/>
          <w:b w:val="1"/>
          <w:bCs w:val="1"/>
          <w:vertAlign w:val="superscript"/>
        </w:rPr>
        <w:t xml:space="preserve">12  </w:t>
      </w:r>
      <w:r>
        <w:rPr>
          <w:b w:val="1"/>
          <w:bCs w:val="1"/>
        </w:rPr>
        <w:t xml:space="preserve">Here is the patience of the saints</w:t>
      </w:r>
      <w:r>
        <w:rPr/>
        <w:t xml:space="preserve"> </w:t>
      </w:r>
      <w:r>
        <w:rPr>
          <w:color w:val="4A6FA5"/>
          <w:sz w:val="18"/>
          <w:szCs w:val="18"/>
        </w:rPr>
        <w:t xml:space="preserve"> (p</w:t>
      </w:r>
      <w:r>
        <w:rPr>
          <w:rStyle w:val="FootnoteReference"/>
        </w:rPr>
        <w:footnoteReference w:id="519"/>
      </w:r>
      <w:r>
        <w:rPr>
          <w:color w:val="4A6FA5"/>
          <w:sz w:val="18"/>
          <w:szCs w:val="18"/>
        </w:rPr>
        <w:t xml:space="preserve">) </w:t>
      </w:r>
      <w:r>
        <w:rPr/>
        <w:t xml:space="preserve">: here are </w:t>
      </w:r>
      <w:r>
        <w:rPr>
          <w:b w:val="1"/>
          <w:bCs w:val="1"/>
        </w:rPr>
        <w:t xml:space="preserve">they who keep the commandments of God</w:t>
      </w:r>
      <w:r>
        <w:rPr/>
        <w:t xml:space="preserve"> </w:t>
      </w:r>
      <w:r>
        <w:rPr>
          <w:rStyle w:val="FootnoteReference"/>
        </w:rPr>
        <w:footnoteReference w:id="520"/>
      </w:r>
      <w:r>
        <w:rPr/>
        <w:t xml:space="preserve"> </w:t>
      </w:r>
      <w:r>
        <w:rPr>
          <w:color w:val="4A6FA5"/>
          <w:sz w:val="18"/>
          <w:szCs w:val="18"/>
        </w:rPr>
        <w:t xml:space="preserve"> (m</w:t>
      </w:r>
      <w:r>
        <w:rPr>
          <w:rStyle w:val="FootnoteReference"/>
        </w:rPr>
        <w:footnoteReference w:id="521"/>
      </w:r>
      <w:r>
        <w:rPr>
          <w:color w:val="4A6FA5"/>
          <w:sz w:val="18"/>
          <w:szCs w:val="18"/>
        </w:rPr>
        <w:t xml:space="preserve">) </w:t>
      </w:r>
      <w:r>
        <w:rPr/>
        <w:t xml:space="preserve">, and the </w:t>
      </w:r>
      <w:r>
        <w:rPr>
          <w:b w:val="1"/>
          <w:bCs w:val="1"/>
        </w:rPr>
        <w:t xml:space="preserve">faith of Jesus</w:t>
      </w:r>
      <w:r>
        <w:rPr/>
        <w:t xml:space="preserve"> </w:t>
      </w:r>
      <w:r>
        <w:rPr>
          <w:color w:val="4A6FA5"/>
          <w:sz w:val="18"/>
          <w:szCs w:val="18"/>
        </w:rPr>
        <w:t xml:space="preserve"> (fs</w:t>
      </w:r>
      <w:r>
        <w:rPr>
          <w:rStyle w:val="FootnoteReference"/>
        </w:rPr>
        <w:footnoteReference w:id="522"/>
      </w:r>
      <w:r>
        <w:rPr>
          <w:color w:val="4A6FA5"/>
          <w:sz w:val="18"/>
          <w:szCs w:val="18"/>
        </w:rPr>
        <w:t xml:space="preserve">) </w:t>
      </w:r>
      <w:r>
        <w:rPr/>
        <w:t xml:space="preserve"> </w:t>
      </w:r>
      <w:r>
        <w:rPr>
          <w:rStyle w:val="FootnoteReference"/>
        </w:rPr>
        <w:footnoteReference w:id="523"/>
      </w:r>
      <w:r>
        <w:rPr/>
        <w:t xml:space="preserve">.</w:t>
      </w:r>
    </w:p>
    <w:p>
      <w:pPr>
        <w:pStyle w:val="BodyVerse"/>
      </w:pPr>
      <w:r>
        <w:rPr>
          <w:b w:val="1"/>
          <w:bCs w:val="1"/>
        </w:rPr>
        <w:t xml:space="preserve">[[@Bible:Re 14:13]] </w:t>
      </w:r>
      <w:r>
        <w:rPr>
          <w:sz w:val="22"/>
          <w:szCs w:val="22"/>
          <w:b w:val="1"/>
          <w:bCs w:val="1"/>
          <w:vertAlign w:val="superscript"/>
        </w:rPr>
        <w:t xml:space="preserve">13  </w:t>
      </w:r>
      <w:r>
        <w:rPr/>
        <w:t xml:space="preserve">And I heard a </w:t>
      </w:r>
      <w:r>
        <w:rPr>
          <w:b w:val="1"/>
          <w:bCs w:val="1"/>
        </w:rPr>
        <w:t xml:space="preserve">voice from heaven</w:t>
      </w:r>
      <w:r>
        <w:rPr/>
        <w:t xml:space="preserve"> </w:t>
      </w:r>
      <w:r>
        <w:rPr>
          <w:rStyle w:val="FootnoteReference"/>
        </w:rPr>
        <w:footnoteReference w:id="524"/>
      </w:r>
      <w:r>
        <w:rPr/>
        <w:t xml:space="preserve"> saying unto me, </w:t>
      </w:r>
      <w:r>
        <w:rPr>
          <w:b w:val="1"/>
          <w:bCs w:val="1"/>
        </w:rPr>
        <w:t xml:space="preserve">Write</w:t>
      </w:r>
      <w:r>
        <w:rPr/>
        <w:t xml:space="preserve"> </w:t>
      </w:r>
      <w:r>
        <w:rPr>
          <w:rStyle w:val="FootnoteReference"/>
        </w:rPr>
        <w:footnoteReference w:id="525"/>
      </w:r>
      <w:r>
        <w:rPr/>
        <w:t xml:space="preserve">, </w:t>
      </w:r>
      <w:r>
        <w:rPr>
          <w:b w:val="1"/>
          <w:bCs w:val="1"/>
        </w:rPr>
        <w:t xml:space="preserve">Blessed</w:t>
      </w:r>
      <w:r>
        <w:rPr/>
        <w:t xml:space="preserve"> </w:t>
      </w:r>
      <w:r>
        <w:rPr>
          <w:rStyle w:val="FootnoteReference"/>
        </w:rPr>
        <w:footnoteReference w:id="526"/>
      </w:r>
      <w:r>
        <w:rPr/>
        <w:t xml:space="preserve"> are the dead who die in the Lord from henceforth: </w:t>
      </w:r>
      <w:r>
        <w:rPr>
          <w:b w:val="1"/>
          <w:bCs w:val="1"/>
        </w:rPr>
        <w:t xml:space="preserve">Yea, says the Spirit,</w:t>
      </w:r>
      <w:r>
        <w:rPr/>
        <w:t xml:space="preserve"> </w:t>
      </w:r>
      <w:r>
        <w:rPr>
          <w:rStyle w:val="FootnoteReference"/>
        </w:rPr>
        <w:footnoteReference w:id="527"/>
      </w:r>
      <w:r>
        <w:rPr/>
        <w:t xml:space="preserve"> </w:t>
      </w:r>
      <w:r>
        <w:rPr>
          <w:rStyle w:val="FootnoteReference"/>
        </w:rPr>
        <w:footnoteReference w:id="528"/>
      </w:r>
      <w:r>
        <w:rPr/>
        <w:t xml:space="preserve"> that they may </w:t>
      </w:r>
      <w:r>
        <w:rPr>
          <w:b w:val="1"/>
          <w:bCs w:val="1"/>
        </w:rPr>
        <w:t xml:space="preserve">rest</w:t>
      </w:r>
      <w:r>
        <w:rPr/>
        <w:t xml:space="preserve"> </w:t>
      </w:r>
      <w:r>
        <w:rPr>
          <w:color w:val="4A6FA5"/>
          <w:sz w:val="18"/>
          <w:szCs w:val="18"/>
        </w:rPr>
        <w:t xml:space="preserve"> (f</w:t>
      </w:r>
      <w:r>
        <w:rPr>
          <w:rStyle w:val="FootnoteReference"/>
        </w:rPr>
        <w:footnoteReference w:id="529"/>
      </w:r>
      <w:r>
        <w:rPr>
          <w:color w:val="4A6FA5"/>
          <w:sz w:val="18"/>
          <w:szCs w:val="18"/>
        </w:rPr>
        <w:t xml:space="preserve">) </w:t>
      </w:r>
      <w:r>
        <w:rPr/>
        <w:t xml:space="preserve"> from their </w:t>
      </w:r>
      <w:r>
        <w:rPr>
          <w:b w:val="1"/>
          <w:bCs w:val="1"/>
        </w:rPr>
        <w:t xml:space="preserve">labours</w:t>
      </w:r>
      <w:r>
        <w:rPr/>
        <w:t xml:space="preserve"> </w:t>
      </w:r>
      <w:r>
        <w:rPr>
          <w:rStyle w:val="FootnoteReference"/>
        </w:rPr>
        <w:footnoteReference w:id="530"/>
      </w:r>
      <w:r>
        <w:rPr/>
        <w:t xml:space="preserve">; and their </w:t>
      </w:r>
      <w:r>
        <w:rPr>
          <w:b w:val="1"/>
          <w:bCs w:val="1"/>
        </w:rPr>
        <w:t xml:space="preserve">works</w:t>
      </w:r>
      <w:r>
        <w:rPr/>
        <w:t xml:space="preserve"> do follow them </w:t>
      </w:r>
      <w:r>
        <w:rPr>
          <w:rStyle w:val="FootnoteReference"/>
        </w:rPr>
        <w:footnoteReference w:id="531"/>
      </w:r>
      <w:r>
        <w:rPr/>
        <w:t xml:space="preserve">.</w:t>
      </w:r>
    </w:p>
    <w:p>
      <w:pPr>
        <w:jc w:val="left"/>
        <w:ind w:left="360" w:right="0" w:firstLine="0" w:hanging="0"/>
        <w:spacing w:after="60"/>
      </w:pPr>
      <w:r>
        <w:rPr>
          <w:sz w:val="18"/>
          <w:szCs w:val="18"/>
          <w:i w:val="1"/>
          <w:iCs w:val="1"/>
        </w:rPr>
        <w:t xml:space="preserve">[fn] Present theme in KJV and ESV original manuscripts, Greek αναπαυσωνται, αναπαησονται, αναπαυσωνται</w:t>
      </w:r>
    </w:p>
    <w:p>
      <w:pPr>
        <w:jc w:val="center"/>
        <w:spacing w:before="120" w:after="60"/>
      </w:pPr>
      <w:r>
        <w:rPr>
          <w:sz w:val="36"/>
          <w:szCs w:val="36"/>
          <w:b w:val="1"/>
          <w:bCs w:val="1"/>
        </w:rPr>
        <w:t xml:space="preserve">✶</w:t>
      </w:r>
    </w:p>
    <w:p>
      <w:pPr>
        <w:pStyle w:val="Heading3"/>
      </w:pPr>
      <w:bookmarkStart w:id="76" w:name="_Toc76"/>
      <w:r>
        <w:t>The Harvest</w:t>
      </w:r>
      <w:bookmarkEnd w:id="76"/>
    </w:p>
    <w:p>
      <w:pPr>
        <w:pStyle w:val="SectionBody"/>
      </w:pPr>
      <w:r>
        <w:rPr>
          <w:b w:val="1"/>
          <w:bCs w:val="1"/>
        </w:rPr>
        <w:t xml:space="preserve">Parenthetical Scene 5.3:</w:t>
      </w:r>
      <w:r>
        <w:rPr/>
        <w:t xml:space="preserve"> Here we see the harvest and then winepress.</w:t>
      </w:r>
    </w:p>
    <w:p>
      <w:pPr>
        <w:pStyle w:val="SectionBody"/>
      </w:pPr>
      <w:r>
        <w:rPr>
          <w:b w:val="1"/>
          <w:bCs w:val="1"/>
        </w:rPr>
        <w:t xml:space="preserve">Important Note:</w:t>
      </w:r>
      <w:r>
        <w:rPr/>
        <w:t xml:space="preserve"> This moment best aligns with the 7th trumpet sounding. Revelation 11:15 "And the seventh angel sounded; and there were great voices in heaven, saying, The kingdoms of this world are become the kingdoms of our Lord, and of his Christ; and he shall reign for ever and ever". The wrath of God can come, but not until the temple is empty which does not happen until Revealtion 15:6.</w:t>
      </w:r>
    </w:p>
    <w:p>
      <w:pPr>
        <w:spacing w:after="150"/>
      </w:pPr>
      <w:r>
        <w:rPr/>
        <w:t xml:space="preserve"/>
      </w:r>
    </w:p>
    <w:p>
      <w:pPr>
        <w:spacing w:after="150"/>
      </w:pPr>
      <w:r>
        <w:rPr/>
        <w:t xml:space="preserve"/>
      </w:r>
    </w:p>
    <w:p>
      <w:pPr>
        <w:spacing w:after="150"/>
      </w:pPr>
      <w:r>
        <w:rPr/>
        <w:t xml:space="preserve"/>
      </w:r>
    </w:p>
    <w:p>
      <w:pPr>
        <w:pStyle w:val="Heading3"/>
      </w:pPr>
      <w:bookmarkStart w:id="77" w:name="_Toc77"/>
      <w:r>
        <w:t>Angels Exit Temple, White Cloud</w:t>
      </w:r>
      <w:bookmarkEnd w:id="77"/>
    </w:p>
    <w:p>
      <w:pPr>
        <w:pStyle w:val="BodyVerse"/>
      </w:pPr>
      <w:r>
        <w:rPr>
          <w:b w:val="1"/>
          <w:bCs w:val="1"/>
        </w:rPr>
        <w:t xml:space="preserve">[[@Bible:Re 14:14]] </w:t>
      </w:r>
      <w:r>
        <w:rPr>
          <w:sz w:val="22"/>
          <w:szCs w:val="22"/>
          <w:b w:val="1"/>
          <w:bCs w:val="1"/>
          <w:vertAlign w:val="superscript"/>
        </w:rPr>
        <w:t xml:space="preserve">14  </w:t>
      </w:r>
      <w:r>
        <w:rPr/>
        <w:t xml:space="preserve">And I looked, and behold a </w:t>
      </w:r>
      <w:r>
        <w:rPr>
          <w:b w:val="1"/>
          <w:bCs w:val="1"/>
        </w:rPr>
        <w:t xml:space="preserve">white cloud, and upon the cloud one sat</w:t>
      </w:r>
      <w:r>
        <w:rPr/>
        <w:t xml:space="preserve"> </w:t>
      </w:r>
      <w:r>
        <w:rPr>
          <w:rStyle w:val="FootnoteReference"/>
        </w:rPr>
        <w:footnoteReference w:id="532"/>
      </w:r>
      <w:r>
        <w:rPr/>
        <w:t xml:space="preserve"> like unto the </w:t>
      </w:r>
      <w:r>
        <w:rPr>
          <w:b w:val="1"/>
          <w:bCs w:val="1"/>
        </w:rPr>
        <w:t xml:space="preserve">Son of man</w:t>
      </w:r>
      <w:r>
        <w:rPr/>
        <w:t xml:space="preserve"> </w:t>
      </w:r>
      <w:r>
        <w:rPr>
          <w:rStyle w:val="FootnoteReference"/>
        </w:rPr>
        <w:footnoteReference w:id="533"/>
      </w:r>
      <w:r>
        <w:rPr/>
        <w:t xml:space="preserve">, having on his head a </w:t>
      </w:r>
      <w:r>
        <w:rPr>
          <w:b w:val="1"/>
          <w:bCs w:val="1"/>
        </w:rPr>
        <w:t xml:space="preserve">golden crown</w:t>
      </w:r>
      <w:r>
        <w:rPr/>
        <w:t xml:space="preserve"> </w:t>
      </w:r>
      <w:r>
        <w:rPr>
          <w:rStyle w:val="FootnoteReference"/>
        </w:rPr>
        <w:footnoteReference w:id="534"/>
      </w:r>
      <w:r>
        <w:rPr/>
        <w:t xml:space="preserve">, and in his hand a sharp sickle.</w:t>
      </w:r>
    </w:p>
    <w:p>
      <w:pPr>
        <w:pStyle w:val="BodyVerse"/>
      </w:pPr>
      <w:r>
        <w:rPr>
          <w:b w:val="1"/>
          <w:bCs w:val="1"/>
        </w:rPr>
        <w:t xml:space="preserve">[[@Bible:Re 14:15]] </w:t>
      </w:r>
      <w:r>
        <w:rPr>
          <w:sz w:val="22"/>
          <w:szCs w:val="22"/>
          <w:b w:val="1"/>
          <w:bCs w:val="1"/>
          <w:vertAlign w:val="superscript"/>
        </w:rPr>
        <w:t xml:space="preserve">15  </w:t>
      </w:r>
      <w:r>
        <w:rPr/>
        <w:t xml:space="preserve">And another </w:t>
      </w:r>
      <w:r>
        <w:rPr>
          <w:b w:val="1"/>
          <w:bCs w:val="1"/>
        </w:rPr>
        <w:t xml:space="preserve">messenger came out</w:t>
      </w:r>
      <w:r>
        <w:rPr/>
        <w:t xml:space="preserve"> </w:t>
      </w:r>
      <w:r>
        <w:rPr>
          <w:rStyle w:val="FootnoteReference"/>
        </w:rPr>
        <w:footnoteReference w:id="535"/>
      </w:r>
      <w:r>
        <w:rPr/>
        <w:t xml:space="preserve"> of the </w:t>
      </w:r>
      <w:r>
        <w:rPr>
          <w:b w:val="1"/>
          <w:bCs w:val="1"/>
        </w:rPr>
        <w:t xml:space="preserve">temple</w:t>
      </w:r>
      <w:r>
        <w:rPr/>
        <w:t xml:space="preserve"> </w:t>
      </w:r>
      <w:r>
        <w:rPr>
          <w:rStyle w:val="FootnoteReference"/>
        </w:rPr>
        <w:footnoteReference w:id="536"/>
      </w:r>
      <w:r>
        <w:rPr/>
        <w:t xml:space="preserve">, crying with a great voice to </w:t>
      </w:r>
      <w:r>
        <w:rPr>
          <w:b w:val="1"/>
          <w:bCs w:val="1"/>
        </w:rPr>
        <w:t xml:space="preserve">him who sat on the cloud</w:t>
      </w:r>
      <w:r>
        <w:rPr/>
        <w:t xml:space="preserve"> </w:t>
      </w:r>
      <w:r>
        <w:rPr>
          <w:rStyle w:val="FootnoteReference"/>
        </w:rPr>
        <w:footnoteReference w:id="537"/>
      </w:r>
      <w:r>
        <w:rPr/>
        <w:t xml:space="preserve">, Thrust in thy sickle, and reap: for the </w:t>
      </w:r>
      <w:r>
        <w:rPr>
          <w:b w:val="1"/>
          <w:bCs w:val="1"/>
        </w:rPr>
        <w:t xml:space="preserve">hour is come for you to reap</w:t>
      </w:r>
      <w:r>
        <w:rPr/>
        <w:t xml:space="preserve"> </w:t>
      </w:r>
      <w:r>
        <w:rPr>
          <w:color w:val="4A6FA5"/>
          <w:sz w:val="18"/>
          <w:szCs w:val="18"/>
        </w:rPr>
        <w:t xml:space="preserve"> (ls</w:t>
      </w:r>
      <w:r>
        <w:rPr>
          <w:rStyle w:val="FootnoteReference"/>
        </w:rPr>
        <w:footnoteReference w:id="538"/>
      </w:r>
      <w:r>
        <w:rPr>
          <w:color w:val="4A6FA5"/>
          <w:sz w:val="18"/>
          <w:szCs w:val="18"/>
        </w:rPr>
        <w:t xml:space="preserve">) </w:t>
      </w:r>
      <w:r>
        <w:rPr/>
        <w:t xml:space="preserve">; for </w:t>
      </w:r>
      <w:r>
        <w:rPr>
          <w:b w:val="1"/>
          <w:bCs w:val="1"/>
        </w:rPr>
        <w:t xml:space="preserve">the harvest of the earth is ripe</w:t>
      </w:r>
      <w:r>
        <w:rPr/>
        <w:t xml:space="preserve"> </w:t>
      </w:r>
      <w:r>
        <w:rPr>
          <w:rStyle w:val="FootnoteReference"/>
        </w:rPr>
        <w:footnoteReference w:id="539"/>
      </w:r>
      <w:r>
        <w:rPr/>
        <w:t xml:space="preserve">.</w:t>
      </w:r>
    </w:p>
    <w:p>
      <w:pPr>
        <w:jc w:val="left"/>
        <w:ind w:left="360" w:right="0" w:firstLine="0" w:hanging="0"/>
        <w:spacing w:after="60"/>
      </w:pPr>
      <w:r>
        <w:rPr>
          <w:sz w:val="18"/>
          <w:szCs w:val="18"/>
          <w:i w:val="1"/>
          <w:iCs w:val="1"/>
        </w:rPr>
        <w:t xml:space="preserve">[fn] Here it is ὥρα for time, this is expressed as an "hour" more commonly. The different uses of words for "time" in Greek can be confusing, but it is interesting that we get this "appointment" type language here as in other places that seem to relate to this hour.</w:t>
      </w:r>
    </w:p>
    <w:p>
      <w:pPr>
        <w:spacing w:after="150"/>
      </w:pPr>
      <w:r>
        <w:rPr/>
        <w:t xml:space="preserve"/>
      </w:r>
    </w:p>
    <w:p>
      <w:pPr>
        <w:pStyle w:val="Heading3"/>
      </w:pPr>
      <w:bookmarkStart w:id="78" w:name="_Toc78"/>
      <w:r>
        <w:t>Pre-Vial Reaping</w:t>
      </w:r>
      <w:bookmarkEnd w:id="78"/>
    </w:p>
    <w:p>
      <w:pPr>
        <w:pStyle w:val="SectionBody"/>
      </w:pPr>
      <w:r>
        <w:rPr>
          <w:b w:val="1"/>
          <w:bCs w:val="1"/>
        </w:rPr>
        <w:t xml:space="preserve">Important Note:</w:t>
      </w:r>
      <w:r>
        <w:rPr/>
        <w:t xml:space="preserve"> This is the time when Jesus reaps his people from the earth to bring them to the ongoing wedding and just before the wrath of God (1 Thessalonians 1:10). Note that the dead tribulation saints are not raised until Revelation 20:4 after the winepress is fully trodden. So it appears that only the living are taken, and the dead are raised later after this reaping. In 1 Corinthians 15:50-54 and 1 Thessalonians 4:16-17, we see that the dead are raised first, so this reaping is not what Paul is speaking about.</w:t>
      </w:r>
    </w:p>
    <w:p>
      <w:pPr>
        <w:spacing w:after="150"/>
      </w:pPr>
      <w:r>
        <w:rPr/>
        <w:t xml:space="preserve"/>
      </w:r>
    </w:p>
    <w:p>
      <w:pPr>
        <w:pStyle w:val="BodyVerse"/>
      </w:pPr>
      <w:r>
        <w:rPr>
          <w:b w:val="1"/>
          <w:bCs w:val="1"/>
        </w:rPr>
        <w:t xml:space="preserve">[[@Bible:Re 14:16]] </w:t>
      </w:r>
      <w:r>
        <w:rPr>
          <w:sz w:val="22"/>
          <w:szCs w:val="22"/>
          <w:b w:val="1"/>
          <w:bCs w:val="1"/>
          <w:vertAlign w:val="superscript"/>
        </w:rPr>
        <w:t xml:space="preserve">16  </w:t>
      </w:r>
      <w:r>
        <w:rPr/>
        <w:t xml:space="preserve">And </w:t>
      </w:r>
      <w:r>
        <w:rPr>
          <w:b w:val="1"/>
          <w:bCs w:val="1"/>
        </w:rPr>
        <w:t xml:space="preserve">he who sat on the cloud</w:t>
      </w:r>
      <w:r>
        <w:rPr/>
        <w:t xml:space="preserve"> </w:t>
      </w:r>
      <w:r>
        <w:rPr>
          <w:rStyle w:val="FootnoteReference"/>
        </w:rPr>
        <w:footnoteReference w:id="540"/>
      </w:r>
      <w:r>
        <w:rPr/>
        <w:t xml:space="preserve"> thrust in his sickle on the earth; and </w:t>
      </w:r>
      <w:r>
        <w:rPr>
          <w:b w:val="1"/>
          <w:bCs w:val="1"/>
        </w:rPr>
        <w:t xml:space="preserve">the earth was reaped</w:t>
      </w:r>
      <w:r>
        <w:rPr/>
        <w:t xml:space="preserve"> </w:t>
      </w:r>
      <w:r>
        <w:rPr>
          <w:color w:val="4A6FA5"/>
          <w:sz w:val="18"/>
          <w:szCs w:val="18"/>
        </w:rPr>
        <w:t xml:space="preserve"> (n</w:t>
      </w:r>
      <w:r>
        <w:rPr>
          <w:rStyle w:val="FootnoteReference"/>
        </w:rPr>
        <w:footnoteReference w:id="541"/>
      </w:r>
      <w:r>
        <w:rPr>
          <w:color w:val="4A6FA5"/>
          <w:sz w:val="18"/>
          <w:szCs w:val="18"/>
        </w:rPr>
        <w:t xml:space="preserve">) </w:t>
      </w:r>
      <w:r>
        <w:rPr/>
        <w:t xml:space="preserve">.</w:t>
      </w:r>
    </w:p>
    <w:p>
      <w:pPr>
        <w:spacing w:after="150"/>
      </w:pPr>
      <w:r>
        <w:rPr/>
        <w:t xml:space="preserve"/>
      </w:r>
    </w:p>
    <w:p>
      <w:pPr>
        <w:pStyle w:val="Heading3"/>
      </w:pPr>
      <w:bookmarkStart w:id="79" w:name="_Toc79"/>
      <w:r>
        <w:t>Altar Angel Reaps Grapes</w:t>
      </w:r>
      <w:bookmarkEnd w:id="79"/>
    </w:p>
    <w:p>
      <w:pPr>
        <w:pStyle w:val="SectionBody"/>
      </w:pPr>
      <w:r>
        <w:rPr>
          <w:b w:val="1"/>
          <w:bCs w:val="1"/>
        </w:rPr>
        <w:t xml:space="preserve">Important Note:</w:t>
      </w:r>
      <w:r>
        <w:rPr/>
        <w:t xml:space="preserve"> Here we see two reapings. The first harvest is taken into heaven by "he who sat on the cloud". The second is gathered and cast into the winepress of wrath. This event should not be confused with Matthew 13:30, which occurs at the end of the 1000 years with the lake of fire in Revelation 20:15. We know this because in Matthew 13:30, the harvest of the bad is put before the harvest of the good, and that is the order of events at the end of the 1000 years. This harvest is distinct from Matthew 13:30 in that here the good go up before the bad are put into the winepress.</w:t>
      </w:r>
    </w:p>
    <w:p>
      <w:pPr>
        <w:spacing w:after="150"/>
      </w:pPr>
      <w:r>
        <w:rPr/>
        <w:t xml:space="preserve"/>
      </w:r>
    </w:p>
    <w:p>
      <w:pPr>
        <w:pStyle w:val="BodyVerse"/>
      </w:pPr>
      <w:r>
        <w:rPr>
          <w:b w:val="1"/>
          <w:bCs w:val="1"/>
        </w:rPr>
        <w:t xml:space="preserve">[[@Bible:Re 14:17]] </w:t>
      </w:r>
      <w:r>
        <w:rPr>
          <w:sz w:val="22"/>
          <w:szCs w:val="22"/>
          <w:b w:val="1"/>
          <w:bCs w:val="1"/>
          <w:vertAlign w:val="superscript"/>
        </w:rPr>
        <w:t xml:space="preserve">17  </w:t>
      </w:r>
      <w:r>
        <w:rPr/>
        <w:t xml:space="preserve">And another </w:t>
      </w:r>
      <w:r>
        <w:rPr>
          <w:b w:val="1"/>
          <w:bCs w:val="1"/>
        </w:rPr>
        <w:t xml:space="preserve">messenger came out</w:t>
      </w:r>
      <w:r>
        <w:rPr/>
        <w:t xml:space="preserve"> </w:t>
      </w:r>
      <w:r>
        <w:rPr>
          <w:rStyle w:val="FootnoteReference"/>
        </w:rPr>
        <w:footnoteReference w:id="542"/>
      </w:r>
      <w:r>
        <w:rPr/>
        <w:t xml:space="preserve"> of the </w:t>
      </w:r>
      <w:r>
        <w:rPr>
          <w:b w:val="1"/>
          <w:bCs w:val="1"/>
        </w:rPr>
        <w:t xml:space="preserve">temple</w:t>
      </w:r>
      <w:r>
        <w:rPr/>
        <w:t xml:space="preserve"> </w:t>
      </w:r>
      <w:r>
        <w:rPr>
          <w:rStyle w:val="FootnoteReference"/>
        </w:rPr>
        <w:footnoteReference w:id="543"/>
      </w:r>
      <w:r>
        <w:rPr/>
        <w:t xml:space="preserve"> which is in heaven, he also having a sharp sickle.</w:t>
      </w:r>
    </w:p>
    <w:p>
      <w:pPr>
        <w:pStyle w:val="BodyVerse"/>
      </w:pPr>
      <w:r>
        <w:rPr>
          <w:b w:val="1"/>
          <w:bCs w:val="1"/>
        </w:rPr>
        <w:t xml:space="preserve">[[@Bible:Re 14:18]] </w:t>
      </w:r>
      <w:r>
        <w:rPr>
          <w:sz w:val="22"/>
          <w:szCs w:val="22"/>
          <w:b w:val="1"/>
          <w:bCs w:val="1"/>
          <w:vertAlign w:val="superscript"/>
        </w:rPr>
        <w:t xml:space="preserve">18  </w:t>
      </w:r>
      <w:r>
        <w:rPr/>
        <w:t xml:space="preserve">And another messenger came out from the altar, who has </w:t>
      </w:r>
      <w:r>
        <w:rPr>
          <w:b w:val="1"/>
          <w:bCs w:val="1"/>
        </w:rPr>
        <w:t xml:space="preserve">power over fire</w:t>
      </w:r>
      <w:r>
        <w:rPr/>
        <w:t xml:space="preserve"> </w:t>
      </w:r>
      <w:r>
        <w:rPr>
          <w:rStyle w:val="FootnoteReference"/>
        </w:rPr>
        <w:footnoteReference w:id="544"/>
      </w:r>
      <w:r>
        <w:rPr/>
        <w:t xml:space="preserve"> </w:t>
      </w:r>
      <w:r>
        <w:rPr>
          <w:rStyle w:val="FootnoteReference"/>
        </w:rPr>
        <w:footnoteReference w:id="545"/>
      </w:r>
      <w:r>
        <w:rPr/>
        <w:t xml:space="preserve">; and cried with a great cry to him who had the sharp sickle, saying, Thrust in thy sharp sickle, and gather the clusters of the vine of the earth; for her grapes are fully ripe. </w:t>
      </w:r>
      <w:r>
        <w:rPr>
          <w:rStyle w:val="FootnoteReference"/>
        </w:rPr>
        <w:footnoteReference w:id="546"/>
      </w:r>
    </w:p>
    <w:p>
      <w:pPr>
        <w:jc w:val="left"/>
        <w:ind w:left="360" w:right="0" w:firstLine="0" w:hanging="0"/>
        <w:spacing w:after="60"/>
      </w:pPr>
      <w:r>
        <w:rPr>
          <w:sz w:val="18"/>
          <w:szCs w:val="18"/>
          <w:i w:val="1"/>
          <w:iCs w:val="1"/>
        </w:rPr>
        <w:t xml:space="preserve">[fn] The altar is not in the temple.</w:t>
      </w:r>
    </w:p>
    <w:p>
      <w:pPr>
        <w:pStyle w:val="BodyVerse"/>
      </w:pPr>
      <w:r>
        <w:rPr>
          <w:b w:val="1"/>
          <w:bCs w:val="1"/>
        </w:rPr>
        <w:t xml:space="preserve">[[@Bible:Re 14:19]] </w:t>
      </w:r>
      <w:r>
        <w:rPr>
          <w:sz w:val="22"/>
          <w:szCs w:val="22"/>
          <w:b w:val="1"/>
          <w:bCs w:val="1"/>
          <w:vertAlign w:val="superscript"/>
        </w:rPr>
        <w:t xml:space="preserve">19  </w:t>
      </w:r>
      <w:r>
        <w:rPr/>
        <w:t xml:space="preserve">And the messenger thrust in his sickle into the earth, and gathered the vine of the earth, and cast it into the great </w:t>
      </w:r>
      <w:r>
        <w:rPr>
          <w:b w:val="1"/>
          <w:bCs w:val="1"/>
        </w:rPr>
        <w:t xml:space="preserve">winepress of the wrath of God</w:t>
      </w:r>
      <w:r>
        <w:rPr/>
        <w:t xml:space="preserve"> </w:t>
      </w:r>
      <w:r>
        <w:rPr>
          <w:color w:val="4A6FA5"/>
          <w:sz w:val="18"/>
          <w:szCs w:val="18"/>
        </w:rPr>
        <w:t xml:space="preserve"> (w</w:t>
      </w:r>
      <w:r>
        <w:rPr>
          <w:rStyle w:val="FootnoteReference"/>
        </w:rPr>
        <w:footnoteReference w:id="547"/>
      </w:r>
      <w:r>
        <w:rPr>
          <w:color w:val="4A6FA5"/>
          <w:sz w:val="18"/>
          <w:szCs w:val="18"/>
        </w:rPr>
        <w:t xml:space="preserve">) </w:t>
      </w:r>
      <w:r>
        <w:rPr/>
        <w:t xml:space="preserve">.</w:t>
      </w:r>
    </w:p>
    <w:p>
      <w:pPr>
        <w:spacing w:after="150"/>
      </w:pPr>
      <w:r>
        <w:rPr/>
        <w:t xml:space="preserve"/>
      </w:r>
    </w:p>
    <w:p>
      <w:pPr>
        <w:pStyle w:val="Heading3"/>
      </w:pPr>
      <w:bookmarkStart w:id="80" w:name="_Toc80"/>
      <w:r>
        <w:t>Final Babylon Falls</w:t>
      </w:r>
      <w:bookmarkEnd w:id="80"/>
    </w:p>
    <w:p>
      <w:pPr>
        <w:pStyle w:val="BodyVerse"/>
      </w:pPr>
      <w:r>
        <w:rPr>
          <w:b w:val="1"/>
          <w:bCs w:val="1"/>
        </w:rPr>
        <w:t xml:space="preserve">[[@Bible:Re 14:20]] </w:t>
      </w:r>
      <w:r>
        <w:rPr>
          <w:sz w:val="22"/>
          <w:szCs w:val="22"/>
          <w:b w:val="1"/>
          <w:bCs w:val="1"/>
          <w:vertAlign w:val="superscript"/>
        </w:rPr>
        <w:t xml:space="preserve">20  </w:t>
      </w:r>
      <w:r>
        <w:rPr/>
        <w:t xml:space="preserve">And the </w:t>
      </w:r>
      <w:r>
        <w:rPr>
          <w:b w:val="1"/>
          <w:bCs w:val="1"/>
        </w:rPr>
        <w:t xml:space="preserve">winepress was trodden</w:t>
      </w:r>
      <w:r>
        <w:rPr/>
        <w:t xml:space="preserve"> </w:t>
      </w:r>
      <w:r>
        <w:rPr>
          <w:rStyle w:val="FootnoteReference"/>
        </w:rPr>
        <w:footnoteReference w:id="548"/>
      </w:r>
      <w:r>
        <w:rPr/>
        <w:t xml:space="preserve"> outside the </w:t>
      </w:r>
      <w:r>
        <w:rPr>
          <w:b w:val="1"/>
          <w:bCs w:val="1"/>
        </w:rPr>
        <w:t xml:space="preserve">city</w:t>
      </w:r>
      <w:r>
        <w:rPr/>
        <w:t xml:space="preserve"> </w:t>
      </w:r>
      <w:r>
        <w:rPr>
          <w:rStyle w:val="FootnoteReference"/>
        </w:rPr>
        <w:footnoteReference w:id="549"/>
      </w:r>
      <w:r>
        <w:rPr/>
        <w:t xml:space="preserve">, and blood came out of </w:t>
      </w:r>
      <w:r>
        <w:rPr>
          <w:b w:val="1"/>
          <w:bCs w:val="1"/>
        </w:rPr>
        <w:t xml:space="preserve">the winepress, even unto the horse bridles</w:t>
      </w:r>
      <w:r>
        <w:rPr/>
        <w:t xml:space="preserve"> </w:t>
      </w:r>
      <w:r>
        <w:rPr>
          <w:color w:val="4A6FA5"/>
          <w:sz w:val="18"/>
          <w:szCs w:val="18"/>
        </w:rPr>
        <w:t xml:space="preserve"> (w</w:t>
      </w:r>
      <w:r>
        <w:rPr>
          <w:rStyle w:val="FootnoteReference"/>
        </w:rPr>
        <w:footnoteReference w:id="550"/>
      </w:r>
      <w:r>
        <w:rPr>
          <w:color w:val="4A6FA5"/>
          <w:sz w:val="18"/>
          <w:szCs w:val="18"/>
        </w:rPr>
        <w:t xml:space="preserve">) </w:t>
      </w:r>
      <w:r>
        <w:rPr/>
        <w:t xml:space="preserve"> </w:t>
      </w:r>
      <w:r>
        <w:rPr>
          <w:rStyle w:val="FootnoteReference"/>
        </w:rPr>
        <w:footnoteReference w:id="551"/>
      </w:r>
      <w:r>
        <w:rPr/>
        <w:t xml:space="preserve">, by the space of a thousand and six hundred furlongs </w:t>
      </w:r>
      <w:r>
        <w:rPr>
          <w:rStyle w:val="FootnoteReference"/>
        </w:rPr>
        <w:footnoteReference w:id="552"/>
      </w:r>
      <w:r>
        <w:rPr/>
        <w:t xml:space="preserve">.</w:t>
      </w:r>
    </w:p>
    <w:p>
      <w:pPr>
        <w:jc w:val="center"/>
        <w:spacing w:before="120" w:after="60"/>
      </w:pPr>
      <w:r>
        <w:rPr>
          <w:sz w:val="36"/>
          <w:szCs w:val="36"/>
          <w:b w:val="1"/>
          <w:bCs w:val="1"/>
        </w:rPr>
        <w:t xml:space="preserve">✶</w:t>
      </w:r>
    </w:p>
    <w:p>
      <w:pPr>
        <w:pStyle w:val="Heading2"/>
      </w:pPr>
      <w:bookmarkStart w:id="81" w:name="_Toc81"/>
      <w:r>
        <w:t>Angels Exit Temple: Vials</w:t>
      </w:r>
      <w:bookmarkEnd w:id="81"/>
    </w:p>
    <w:p>
      <w:pPr>
        <w:pStyle w:val="SectionBody"/>
      </w:pPr>
      <w:r>
        <w:rPr>
          <w:b w:val="1"/>
          <w:bCs w:val="1"/>
        </w:rPr>
        <w:t xml:space="preserve">Linear Scene 1.5:</w:t>
      </w:r>
      <w:r>
        <w:rPr/>
        <w:t xml:space="preserve"> Picking back up at "the temple of God was opened in heaven, and there was seen in his temple the ark of his testament" from Trumpet 7. The word "sign" (σημεῖον) here seems to act as a continuum from Revelation 12-13. It is as if we are given the clue, "remember the story that started with 'signs' in Revelation 12-13. Now we continue that story here by the word 'sign'." And this perfectly aligns with what we would expect, the timing of the pre-vial reaping.</w:t>
      </w:r>
    </w:p>
    <w:p>
      <w:pPr>
        <w:pStyle w:val="SectionBody"/>
      </w:pPr>
      <w:r>
        <w:rPr/>
        <w:t xml:space="preserve">The phrase "sign in heaven" seems to signal the resumption of Revelation 12, with "sign in heaven" serving as a shared theme that opens in 12 and 15. Also,  Revelation 13's conclusion with the mark of the beast, and here in Revelation 15, we see those who have overcome that mark.</w:t>
      </w:r>
    </w:p>
    <w:p>
      <w:pPr>
        <w:spacing w:after="150"/>
      </w:pPr>
      <w:r>
        <w:rPr/>
        <w:t xml:space="preserve"/>
      </w:r>
    </w:p>
    <w:p>
      <w:pPr>
        <w:pStyle w:val="BodyVerse"/>
      </w:pPr>
      <w:r>
        <w:rPr>
          <w:b w:val="1"/>
          <w:bCs w:val="1"/>
        </w:rPr>
        <w:t xml:space="preserve">[[@Bible:Re 15:1]] </w:t>
      </w:r>
      <w:r>
        <w:rPr>
          <w:sz w:val="22"/>
          <w:szCs w:val="22"/>
          <w:b w:val="1"/>
          <w:bCs w:val="1"/>
          <w:vertAlign w:val="superscript"/>
        </w:rPr>
        <w:t xml:space="preserve">1  </w:t>
      </w:r>
      <w:r>
        <w:rPr/>
        <w:t xml:space="preserve">And I saw another </w:t>
      </w:r>
      <w:r>
        <w:rPr>
          <w:b w:val="1"/>
          <w:bCs w:val="1"/>
        </w:rPr>
        <w:t xml:space="preserve">sign in heaven</w:t>
      </w:r>
      <w:r>
        <w:rPr/>
        <w:t xml:space="preserve"> </w:t>
      </w:r>
      <w:r>
        <w:rPr>
          <w:color w:val="4A6FA5"/>
          <w:sz w:val="18"/>
          <w:szCs w:val="18"/>
        </w:rPr>
        <w:t xml:space="preserve"> (c</w:t>
      </w:r>
      <w:r>
        <w:rPr>
          <w:rStyle w:val="FootnoteReference"/>
        </w:rPr>
        <w:footnoteReference w:id="553"/>
      </w:r>
      <w:r>
        <w:rPr>
          <w:color w:val="4A6FA5"/>
          <w:sz w:val="18"/>
          <w:szCs w:val="18"/>
        </w:rPr>
        <w:t xml:space="preserve">) </w:t>
      </w:r>
      <w:r>
        <w:rPr/>
        <w:t xml:space="preserve">, great and marvelous, </w:t>
      </w:r>
      <w:r>
        <w:rPr>
          <w:b w:val="1"/>
          <w:bCs w:val="1"/>
        </w:rPr>
        <w:t xml:space="preserve">seven messengers</w:t>
      </w:r>
      <w:r>
        <w:rPr/>
        <w:t xml:space="preserve"> </w:t>
      </w:r>
      <w:r>
        <w:rPr>
          <w:rStyle w:val="FootnoteReference"/>
        </w:rPr>
        <w:footnoteReference w:id="554"/>
      </w:r>
      <w:r>
        <w:rPr/>
        <w:t xml:space="preserve"> having the seven last plagues; for in them is finished the </w:t>
      </w:r>
      <w:r>
        <w:rPr>
          <w:b w:val="1"/>
          <w:bCs w:val="1"/>
        </w:rPr>
        <w:t xml:space="preserve">wrath of God</w:t>
      </w:r>
      <w:r>
        <w:rPr/>
        <w:t xml:space="preserve"> </w:t>
      </w:r>
      <w:r>
        <w:rPr>
          <w:color w:val="4A6FA5"/>
          <w:sz w:val="18"/>
          <w:szCs w:val="18"/>
        </w:rPr>
        <w:t xml:space="preserve"> (u</w:t>
      </w:r>
      <w:r>
        <w:rPr>
          <w:rStyle w:val="FootnoteReference"/>
        </w:rPr>
        <w:footnoteReference w:id="555"/>
      </w:r>
      <w:r>
        <w:rPr>
          <w:color w:val="4A6FA5"/>
          <w:sz w:val="18"/>
          <w:szCs w:val="18"/>
        </w:rPr>
        <w:t xml:space="preserve">) </w:t>
      </w:r>
      <w:r>
        <w:rPr/>
        <w:t xml:space="preserve"> </w:t>
      </w:r>
      <w:r>
        <w:rPr>
          <w:rStyle w:val="FootnoteReference"/>
        </w:rPr>
        <w:footnoteReference w:id="556"/>
      </w:r>
      <w:r>
        <w:rPr/>
        <w:t xml:space="preserve"> </w:t>
      </w:r>
      <w:r>
        <w:rPr>
          <w:rStyle w:val="FootnoteReference"/>
        </w:rPr>
        <w:footnoteReference w:id="557"/>
      </w:r>
      <w:r>
        <w:rPr/>
        <w:t xml:space="preserve"> </w:t>
      </w:r>
      <w:r>
        <w:rPr>
          <w:rStyle w:val="FootnoteReference"/>
        </w:rPr>
        <w:footnoteReference w:id="558"/>
      </w:r>
      <w:r>
        <w:rPr/>
        <w:t xml:space="preserve">.</w:t>
      </w:r>
    </w:p>
    <w:p>
      <w:pPr>
        <w:jc w:val="left"/>
        <w:ind w:left="360" w:right="0" w:firstLine="0" w:hanging="0"/>
        <w:spacing w:after="60"/>
      </w:pPr>
      <w:r>
        <w:rPr>
          <w:sz w:val="18"/>
          <w:szCs w:val="18"/>
          <w:i w:val="1"/>
          <w:iCs w:val="1"/>
        </w:rPr>
        <w:t xml:space="preserve">[fn] Again, Paul tells us in 1 Thessalonians 1:10 that saints are not meant for the wrath, which further supports the "escaping wrath" language here in the description of these vials and their filling with God's wrath.</w:t>
      </w:r>
    </w:p>
    <w:p>
      <w:pPr>
        <w:jc w:val="left"/>
        <w:ind w:left="360" w:right="0" w:firstLine="0" w:hanging="0"/>
        <w:spacing w:after="60"/>
      </w:pPr>
      <w:r>
        <w:rPr>
          <w:sz w:val="18"/>
          <w:szCs w:val="18"/>
          <w:i w:val="1"/>
          <w:iCs w:val="1"/>
        </w:rPr>
        <w:t xml:space="preserve">[fn] Here, the text says these are "the seven last plagues"; they are not the only plagues, that is, these plagues are the last in an ongoing line of plagues.  This infers that both sets of seven seals and trumpets brought forth "plagues" as well because they belong to the same thematic category as the seven vial messengers. These seven messengers "finish" the sets of plagues (the seals, trumpets, and vials). The text also states, in the same manner, that these messengers "finish" the wrath of God. So, following the same theme of plagues, the text also seems to infer that the seals and trumpets were the "wrath" of God, too.  Though the seals and trumpets are never explicitly stated as bringing out plagues or wrath (at the time of their execution), the text here in 15:1 strongly positions all those of its theatic category as plagues and wrath and thus, in that way, does indeed explicitly declare all of them as plagues and wrath.</w:t>
      </w:r>
    </w:p>
    <w:p>
      <w:pPr>
        <w:spacing w:after="150"/>
      </w:pPr>
      <w:r>
        <w:rPr/>
        <w:t xml:space="preserve"/>
      </w:r>
    </w:p>
    <w:p>
      <w:pPr>
        <w:pStyle w:val="Heading3"/>
      </w:pPr>
      <w:bookmarkStart w:id="82" w:name="_Toc82"/>
      <w:r>
        <w:t>Sea of Glass with Fire</w:t>
      </w:r>
      <w:bookmarkEnd w:id="82"/>
    </w:p>
    <w:p>
      <w:pPr>
        <w:pStyle w:val="SectionBody"/>
      </w:pPr>
      <w:r>
        <w:rPr>
          <w:b w:val="1"/>
          <w:bCs w:val="1"/>
        </w:rPr>
        <w:t xml:space="preserve">Important Note</w:t>
      </w:r>
      <w:r>
        <w:rPr/>
        <w:t xml:space="preserve">: Here in Revelation 15:2, we encounter the sea of glass again, first introduced in Revelation 4. But now a new element appears: the glassy sea is mixed with fire. That addition should catch our attention. Something has changed, or something is happening. Fire appears many times throughout Revelation (roughly two dozen, depending on translation) and often functions either as an instrument of judgment or as an added descriptor to existing figures or objects—such as Christ’s eyes being like a flame of fire (1:14), the seven lamps before the throne burning with fire (4:5), and the mighty angel whose legs are described as pillars of fire (10:1). Fire alone, however, is not enough to determine what is happening with the sea. We still need more context.</w:t>
      </w:r>
    </w:p>
    <w:p>
      <w:pPr>
        <w:pStyle w:val="SectionBody"/>
      </w:pPr>
      <w:r>
        <w:rPr/>
        <w:t xml:space="preserve">Now we are given more details. In Revelation 15, the victors are not merely observing the sea of glass — they are standing on it. This is a significant development. Whatever parallels could be drawn earlier to the Temple’s Molten Sea in Revelation 4, the imagery here has clearly moved beyond priestly washing or architectural placement. The scene now feels closer to an exodus pattern: a conquered sea beneath the feet of a redeemed people. This echoes the logic of Exodus, in which Israel emerges from the sea after judgment falls on their oppressors. The sea is no longer something approached for cleansing; it appears to be something they pass through.</w:t>
      </w:r>
    </w:p>
    <w:p>
      <w:pPr>
        <w:pStyle w:val="SectionBody"/>
      </w:pPr>
      <w:r>
        <w:rPr/>
        <w:t xml:space="preserve">Following this, the Song of Moses now builds directly into the glassy sea context, giving a connection to Exodus 15:1. It begins to look like, just as Israel passed from Egypt into promise, the sea of glass functions as a Red Sea, type crossing, and the Song of Moses becomes a victory song that looks back to Moses while also pointing to the Lamb who reaped them. This final context gives us just enough to begin seeing what the sea of glass represents, still not precisely, but enough to form a shadowy, typological understanding.</w:t>
      </w:r>
    </w:p>
    <w:p>
      <w:pPr>
        <w:pStyle w:val="SectionBody"/>
      </w:pPr>
      <w:r>
        <w:rPr/>
        <w:t xml:space="preserve">The saints appear to pass through the sea of glass when Jesus reaps them in Revelation 14:16, while those beneath it are wrapped in fire judgment, maybe from the angel who has power over fire in Revelation 14:17-19. Whether the saints are passing through the sea or have already crossed it, the picture now resembles Exodus: deliverance on one side of the sea, judgment on the other. This also would explain why the fire was not in the sea of glass in Revelation 4. Judgment has not yet begun.</w:t>
      </w:r>
    </w:p>
    <w:p>
      <w:pPr>
        <w:pStyle w:val="SectionBody"/>
      </w:pPr>
      <w:r>
        <w:rPr/>
        <w:t xml:space="preserve">So, we are now using as much context as is given to understand what is happening here to the best of our ability.</w:t>
      </w:r>
    </w:p>
    <w:p>
      <w:pPr>
        <w:pStyle w:val="SectionBody"/>
      </w:pPr>
      <w:r>
        <w:rPr>
          <w:b w:val="1"/>
          <w:bCs w:val="1"/>
        </w:rPr>
        <w:t xml:space="preserve">Important Note</w:t>
      </w:r>
      <w:r>
        <w:rPr/>
        <w:t xml:space="preserve">: These victorious saints are not the same as those in the first resurrection of Revelation 20:4-6. While both here and in Revelation 20 the saints are described as having victory over the beast, the mark, and the number of his name, the saints in Revelation 15 are not souls, nor are they shown to be dead. In Revelation 20, that group is explicitly said to have died and are not raised until after all seven vials are poured out.</w:t>
      </w:r>
    </w:p>
    <w:p>
      <w:pPr>
        <w:pStyle w:val="SectionBody"/>
      </w:pPr>
      <w:r>
        <w:rPr/>
        <w:t xml:space="preserve">Because we can place this living group before the vials, and the first-resurrection group after the vials, we can see that this is not what Paul was speaking of in 1 Thessalonians 4:16 when he said the dead rise first. Here, the living are gathered first, and then the dead follow in Revelation 20. So, this moment in Revelation 15:2-4 is neither Revelation 20:4-6 nor 1 Thessalonians 4:16.</w:t>
      </w:r>
    </w:p>
    <w:p>
      <w:pPr>
        <w:spacing w:after="150"/>
      </w:pPr>
      <w:r>
        <w:rPr/>
        <w:t xml:space="preserve"/>
      </w:r>
    </w:p>
    <w:p>
      <w:pPr>
        <w:pStyle w:val="BodyVerse"/>
      </w:pPr>
      <w:r>
        <w:rPr>
          <w:b w:val="1"/>
          <w:bCs w:val="1"/>
        </w:rPr>
        <w:t xml:space="preserve">[[@Bible:Re 15:2]] </w:t>
      </w:r>
      <w:r>
        <w:rPr>
          <w:sz w:val="22"/>
          <w:szCs w:val="22"/>
          <w:b w:val="1"/>
          <w:bCs w:val="1"/>
          <w:vertAlign w:val="superscript"/>
        </w:rPr>
        <w:t xml:space="preserve">2  </w:t>
      </w:r>
      <w:r>
        <w:rPr/>
        <w:t xml:space="preserve">And I saw as it were a </w:t>
      </w:r>
      <w:r>
        <w:rPr>
          <w:b w:val="1"/>
          <w:bCs w:val="1"/>
        </w:rPr>
        <w:t xml:space="preserve">sea of glass mingled with fire</w:t>
      </w:r>
      <w:r>
        <w:rPr/>
        <w:t xml:space="preserve"> </w:t>
      </w:r>
      <w:r>
        <w:rPr>
          <w:rStyle w:val="FootnoteReference"/>
        </w:rPr>
        <w:footnoteReference w:id="559"/>
      </w:r>
      <w:r>
        <w:rPr/>
        <w:t xml:space="preserve"> </w:t>
      </w:r>
      <w:r>
        <w:rPr>
          <w:rStyle w:val="FootnoteReference"/>
        </w:rPr>
        <w:footnoteReference w:id="560"/>
      </w:r>
      <w:r>
        <w:rPr/>
        <w:t xml:space="preserve">: and </w:t>
      </w:r>
      <w:r>
        <w:rPr>
          <w:b w:val="1"/>
          <w:bCs w:val="1"/>
        </w:rPr>
        <w:t xml:space="preserve">those</w:t>
      </w:r>
      <w:r>
        <w:rPr/>
        <w:t xml:space="preserve"> </w:t>
      </w:r>
      <w:r>
        <w:rPr>
          <w:color w:val="4A6FA5"/>
          <w:sz w:val="18"/>
          <w:szCs w:val="18"/>
        </w:rPr>
        <w:t xml:space="preserve"> (n</w:t>
      </w:r>
      <w:r>
        <w:rPr>
          <w:rStyle w:val="FootnoteReference"/>
        </w:rPr>
        <w:footnoteReference w:id="561"/>
      </w:r>
      <w:r>
        <w:rPr>
          <w:color w:val="4A6FA5"/>
          <w:sz w:val="18"/>
          <w:szCs w:val="18"/>
        </w:rPr>
        <w:t xml:space="preserve">) </w:t>
      </w:r>
      <w:r>
        <w:rPr/>
        <w:t xml:space="preserve"> who had </w:t>
      </w:r>
      <w:r>
        <w:rPr>
          <w:b w:val="1"/>
          <w:bCs w:val="1"/>
        </w:rPr>
        <w:t xml:space="preserve">overcome the beast</w:t>
      </w:r>
      <w:r>
        <w:rPr/>
        <w:t xml:space="preserve"> </w:t>
      </w:r>
      <w:r>
        <w:rPr>
          <w:rStyle w:val="FootnoteReference"/>
        </w:rPr>
        <w:footnoteReference w:id="562"/>
      </w:r>
      <w:r>
        <w:rPr/>
        <w:t xml:space="preserve"> </w:t>
      </w:r>
      <w:r>
        <w:rPr>
          <w:rStyle w:val="FootnoteReference"/>
        </w:rPr>
        <w:footnoteReference w:id="563"/>
      </w:r>
      <w:r>
        <w:rPr/>
        <w:t xml:space="preserve">, and his </w:t>
      </w:r>
      <w:r>
        <w:rPr>
          <w:b w:val="1"/>
          <w:bCs w:val="1"/>
        </w:rPr>
        <w:t xml:space="preserve">image</w:t>
      </w:r>
      <w:r>
        <w:rPr/>
        <w:t xml:space="preserve"> </w:t>
      </w:r>
      <w:r>
        <w:rPr>
          <w:rStyle w:val="FootnoteReference"/>
        </w:rPr>
        <w:footnoteReference w:id="564"/>
      </w:r>
      <w:r>
        <w:rPr/>
        <w:t xml:space="preserve">,</w:t>
      </w:r>
      <w:r>
        <w:rPr/>
        <w:t xml:space="preserve"> and over the number of his name, stand on the sea of glass, having the </w:t>
      </w:r>
      <w:r>
        <w:rPr>
          <w:b w:val="1"/>
          <w:bCs w:val="1"/>
        </w:rPr>
        <w:t xml:space="preserve">harps of God</w:t>
      </w:r>
      <w:r>
        <w:rPr/>
        <w:t xml:space="preserve"> </w:t>
      </w:r>
      <w:r>
        <w:rPr>
          <w:rStyle w:val="FootnoteReference"/>
        </w:rPr>
        <w:footnoteReference w:id="565"/>
      </w:r>
      <w:r>
        <w:rPr/>
        <w:t xml:space="preserve">.</w:t>
      </w:r>
    </w:p>
    <w:p>
      <w:pPr>
        <w:jc w:val="left"/>
        <w:ind w:left="360" w:right="0" w:firstLine="0" w:hanging="0"/>
        <w:spacing w:after="60"/>
      </w:pPr>
      <w:r>
        <w:rPr>
          <w:sz w:val="18"/>
          <w:szCs w:val="18"/>
          <w:i w:val="1"/>
          <w:iCs w:val="1"/>
        </w:rPr>
        <w:t xml:space="preserve">[fn] ESV says "beside" not "on", the Greek is ἐπί should be translated as "on" because τὴν θάλασσαν is accusative. If you see τὴν, τόν, or τό, you're in accusative. In Greek as a whole, "ἐπὶ τὴν θάλασσαν τὴν ὑαλίνην".</w:t>
      </w:r>
    </w:p>
    <w:p>
      <w:pPr>
        <w:spacing w:after="150"/>
      </w:pPr>
      <w:r>
        <w:rPr/>
        <w:t xml:space="preserve"/>
      </w:r>
    </w:p>
    <w:p>
      <w:pPr>
        <w:pStyle w:val="Heading3"/>
      </w:pPr>
      <w:bookmarkStart w:id="83" w:name="_Toc83"/>
      <w:r>
        <w:t>Victors Sing the Song of Moses and Song of the Lamb</w:t>
      </w:r>
      <w:bookmarkEnd w:id="83"/>
    </w:p>
    <w:p>
      <w:pPr>
        <w:pStyle w:val="SectionBody"/>
      </w:pPr>
      <w:r>
        <w:rPr>
          <w:b w:val="1"/>
          <w:bCs w:val="1"/>
        </w:rPr>
        <w:t xml:space="preserve">Important Note:</w:t>
      </w:r>
      <w:r>
        <w:rPr/>
        <w:t xml:space="preserve"> A new pattern emerges. When the coming out of Mystery Babylon occurs, we see a deeply linked, layered series of events that is chained together and takes us to the "new song," a song about the Lamb being worthy to open the seals and bring judgment. And now the pre-vial reaped group sings a song like it for Moses and the Lamb, in that they too are singing for "judgment". Both the new song and this one include themes of judgment.</w:t>
      </w:r>
    </w:p>
    <w:p>
      <w:pPr>
        <w:spacing w:after="150"/>
      </w:pPr>
      <w:r>
        <w:rPr/>
        <w:t xml:space="preserve"/>
      </w:r>
    </w:p>
    <w:p>
      <w:pPr>
        <w:pStyle w:val="BodyVerse"/>
      </w:pPr>
      <w:r>
        <w:rPr>
          <w:b w:val="1"/>
          <w:bCs w:val="1"/>
        </w:rPr>
        <w:t xml:space="preserve">[[@Bible:Re 15:3]] </w:t>
      </w:r>
      <w:r>
        <w:rPr>
          <w:sz w:val="22"/>
          <w:szCs w:val="22"/>
          <w:b w:val="1"/>
          <w:bCs w:val="1"/>
          <w:vertAlign w:val="superscript"/>
        </w:rPr>
        <w:t xml:space="preserve">3  </w:t>
      </w:r>
      <w:r>
        <w:rPr/>
        <w:t xml:space="preserve">And they sing the song of Moses the servant of God, and the song of the Lamb, saying, Great and marvellous are thy works, Lord God Almighty; just and true are thy ways, O King of saints.</w:t>
      </w:r>
    </w:p>
    <w:p>
      <w:pPr>
        <w:jc w:val="left"/>
        <w:ind w:left="360" w:right="0" w:firstLine="0" w:hanging="0"/>
        <w:spacing w:after="60"/>
      </w:pPr>
      <w:r>
        <w:rPr>
          <w:sz w:val="18"/>
          <w:szCs w:val="18"/>
          <w:i w:val="1"/>
          <w:iCs w:val="1"/>
        </w:rPr>
        <w:t xml:space="preserve">[fn] Any time there are singers of songs in Revelation, they have harps. The harps help you identify who is singing.</w:t>
      </w:r>
    </w:p>
    <w:p>
      <w:pPr>
        <w:pStyle w:val="BodyVerse"/>
      </w:pPr>
      <w:r>
        <w:rPr>
          <w:b w:val="1"/>
          <w:bCs w:val="1"/>
        </w:rPr>
        <w:t xml:space="preserve">[[@Bible:Re 15:4]] </w:t>
      </w:r>
      <w:r>
        <w:rPr>
          <w:sz w:val="22"/>
          <w:szCs w:val="22"/>
          <w:b w:val="1"/>
          <w:bCs w:val="1"/>
          <w:vertAlign w:val="superscript"/>
        </w:rPr>
        <w:t xml:space="preserve">4  </w:t>
      </w:r>
      <w:r>
        <w:rPr/>
        <w:t xml:space="preserve">Who shall not </w:t>
      </w:r>
      <w:r>
        <w:rPr>
          <w:b w:val="1"/>
          <w:bCs w:val="1"/>
        </w:rPr>
        <w:t xml:space="preserve">fear you</w:t>
      </w:r>
      <w:r>
        <w:rPr/>
        <w:t xml:space="preserve"> </w:t>
      </w:r>
      <w:r>
        <w:rPr>
          <w:rStyle w:val="FootnoteReference"/>
        </w:rPr>
        <w:footnoteReference w:id="566"/>
      </w:r>
      <w:r>
        <w:rPr/>
        <w:t xml:space="preserve">, O Lord, and glorify thy name? for you only are holy: for all nations shall come and worship before you; for thy judgments are made manifest.</w:t>
      </w:r>
    </w:p>
    <w:p>
      <w:pPr>
        <w:spacing w:after="150"/>
      </w:pPr>
      <w:r>
        <w:rPr/>
        <w:t xml:space="preserve"/>
      </w:r>
    </w:p>
    <w:p>
      <w:pPr>
        <w:pStyle w:val="Heading3"/>
      </w:pPr>
      <w:bookmarkStart w:id="84" w:name="_Toc84"/>
      <w:r>
        <w:t>Plagues Continue from Trumpets</w:t>
      </w:r>
      <w:bookmarkEnd w:id="84"/>
    </w:p>
    <w:p>
      <w:pPr>
        <w:pStyle w:val="SectionBody"/>
      </w:pPr>
      <w:r>
        <w:rPr>
          <w:b w:val="1"/>
          <w:bCs w:val="1"/>
        </w:rPr>
        <w:t xml:space="preserve">Important Note:</w:t>
      </w:r>
      <w:r>
        <w:rPr/>
        <w:t xml:space="preserve"> This is the same timing as the 7th trumpet in Revelation 11, based on what happens with the temple of the tabernacle.</w:t>
      </w:r>
    </w:p>
    <w:p>
      <w:pPr>
        <w:spacing w:after="150"/>
      </w:pPr>
      <w:r>
        <w:rPr/>
        <w:t xml:space="preserve"/>
      </w:r>
    </w:p>
    <w:p>
      <w:pPr>
        <w:pStyle w:val="BodyVerse"/>
      </w:pPr>
      <w:r>
        <w:rPr>
          <w:b w:val="1"/>
          <w:bCs w:val="1"/>
        </w:rPr>
        <w:t xml:space="preserve">[[@Bible:Re 15:5]] </w:t>
      </w:r>
      <w:r>
        <w:rPr>
          <w:sz w:val="22"/>
          <w:szCs w:val="22"/>
          <w:b w:val="1"/>
          <w:bCs w:val="1"/>
          <w:vertAlign w:val="superscript"/>
        </w:rPr>
        <w:t xml:space="preserve">5  </w:t>
      </w:r>
      <w:r>
        <w:rPr/>
        <w:t xml:space="preserve">And after that I looked, and, behold, the </w:t>
      </w:r>
      <w:r>
        <w:rPr>
          <w:b w:val="1"/>
          <w:bCs w:val="1"/>
        </w:rPr>
        <w:t xml:space="preserve">temple of the tabernacle of the testimony in heaven was opened</w:t>
      </w:r>
      <w:r>
        <w:rPr/>
        <w:t xml:space="preserve"> </w:t>
      </w:r>
      <w:r>
        <w:rPr>
          <w:color w:val="4A6FA5"/>
          <w:sz w:val="18"/>
          <w:szCs w:val="18"/>
        </w:rPr>
        <w:t xml:space="preserve"> (t</w:t>
      </w:r>
      <w:r>
        <w:rPr>
          <w:rStyle w:val="FootnoteReference"/>
        </w:rPr>
        <w:footnoteReference w:id="567"/>
      </w:r>
      <w:r>
        <w:rPr>
          <w:color w:val="4A6FA5"/>
          <w:sz w:val="18"/>
          <w:szCs w:val="18"/>
        </w:rPr>
        <w:t xml:space="preserve">) </w:t>
      </w:r>
      <w:r>
        <w:rPr/>
        <w:t xml:space="preserve"> </w:t>
      </w:r>
      <w:r>
        <w:rPr>
          <w:rStyle w:val="FootnoteReference"/>
        </w:rPr>
        <w:footnoteReference w:id="568"/>
      </w:r>
      <w:r>
        <w:rPr/>
        <w:t xml:space="preserve">:</w:t>
      </w:r>
    </w:p>
    <w:p>
      <w:pPr>
        <w:pStyle w:val="BodyVerse"/>
      </w:pPr>
      <w:r>
        <w:rPr>
          <w:b w:val="1"/>
          <w:bCs w:val="1"/>
        </w:rPr>
        <w:t xml:space="preserve">[[@Bible:Re 15:6]] </w:t>
      </w:r>
      <w:r>
        <w:rPr>
          <w:sz w:val="22"/>
          <w:szCs w:val="22"/>
          <w:b w:val="1"/>
          <w:bCs w:val="1"/>
          <w:vertAlign w:val="superscript"/>
        </w:rPr>
        <w:t xml:space="preserve">6  </w:t>
      </w:r>
      <w:r>
        <w:rPr/>
        <w:t xml:space="preserve">And the seven </w:t>
      </w:r>
      <w:r>
        <w:rPr>
          <w:b w:val="1"/>
          <w:bCs w:val="1"/>
        </w:rPr>
        <w:t xml:space="preserve">messengers having the seven plagues came out</w:t>
      </w:r>
      <w:r>
        <w:rPr/>
        <w:t xml:space="preserve"> </w:t>
      </w:r>
      <w:r>
        <w:rPr>
          <w:rStyle w:val="FootnoteReference"/>
        </w:rPr>
        <w:footnoteReference w:id="569"/>
      </w:r>
      <w:r>
        <w:rPr/>
        <w:t xml:space="preserve"> of the </w:t>
      </w:r>
      <w:r>
        <w:rPr>
          <w:b w:val="1"/>
          <w:bCs w:val="1"/>
        </w:rPr>
        <w:t xml:space="preserve">temple</w:t>
      </w:r>
      <w:r>
        <w:rPr/>
        <w:t xml:space="preserve"> </w:t>
      </w:r>
      <w:r>
        <w:rPr>
          <w:rStyle w:val="FootnoteReference"/>
        </w:rPr>
        <w:footnoteReference w:id="570"/>
      </w:r>
      <w:r>
        <w:rPr/>
        <w:t xml:space="preserve">, clothed in </w:t>
      </w:r>
      <w:r>
        <w:rPr>
          <w:b w:val="1"/>
          <w:bCs w:val="1"/>
        </w:rPr>
        <w:t xml:space="preserve">clean and bright linen</w:t>
      </w:r>
      <w:r>
        <w:rPr/>
        <w:t xml:space="preserve"> </w:t>
      </w:r>
      <w:r>
        <w:rPr>
          <w:rStyle w:val="FootnoteReference"/>
        </w:rPr>
        <w:footnoteReference w:id="571"/>
      </w:r>
      <w:r>
        <w:rPr/>
        <w:t xml:space="preserve">, and having their breasts </w:t>
      </w:r>
      <w:r>
        <w:rPr>
          <w:b w:val="1"/>
          <w:bCs w:val="1"/>
        </w:rPr>
        <w:t xml:space="preserve">girded with golden girdles</w:t>
      </w:r>
      <w:r>
        <w:rPr/>
        <w:t xml:space="preserve"> </w:t>
      </w:r>
      <w:r>
        <w:rPr>
          <w:rStyle w:val="FootnoteReference"/>
        </w:rPr>
        <w:footnoteReference w:id="572"/>
      </w:r>
      <w:r>
        <w:rPr/>
        <w:t xml:space="preserve">.</w:t>
      </w:r>
    </w:p>
    <w:p>
      <w:pPr>
        <w:spacing w:after="150"/>
      </w:pPr>
      <w:r>
        <w:rPr/>
        <w:t xml:space="preserve"/>
      </w:r>
    </w:p>
    <w:p>
      <w:pPr>
        <w:pStyle w:val="Heading3"/>
      </w:pPr>
      <w:bookmarkStart w:id="85" w:name="_Toc85"/>
      <w:r>
        <w:t>Vials Appear</w:t>
      </w:r>
      <w:bookmarkEnd w:id="85"/>
    </w:p>
    <w:p>
      <w:pPr>
        <w:pStyle w:val="BodyVerse"/>
      </w:pPr>
      <w:r>
        <w:rPr>
          <w:b w:val="1"/>
          <w:bCs w:val="1"/>
        </w:rPr>
        <w:t xml:space="preserve">[[@Bible:Re 15:7]] </w:t>
      </w:r>
      <w:r>
        <w:rPr>
          <w:sz w:val="22"/>
          <w:szCs w:val="22"/>
          <w:b w:val="1"/>
          <w:bCs w:val="1"/>
          <w:vertAlign w:val="superscript"/>
        </w:rPr>
        <w:t xml:space="preserve">7  </w:t>
      </w:r>
      <w:r>
        <w:rPr/>
        <w:t xml:space="preserve">And one of the four </w:t>
      </w:r>
      <w:r>
        <w:rPr>
          <w:b w:val="1"/>
          <w:bCs w:val="1"/>
        </w:rPr>
        <w:t xml:space="preserve">beasts</w:t>
      </w:r>
      <w:r>
        <w:rPr/>
        <w:t xml:space="preserve"> </w:t>
      </w:r>
      <w:r>
        <w:rPr>
          <w:rStyle w:val="FootnoteReference"/>
        </w:rPr>
        <w:footnoteReference w:id="573"/>
      </w:r>
      <w:r>
        <w:rPr/>
        <w:t xml:space="preserve"> gave unto the seven messengers seven golden vials full of the wrath of God, who </w:t>
      </w:r>
      <w:r>
        <w:rPr>
          <w:b w:val="1"/>
          <w:bCs w:val="1"/>
        </w:rPr>
        <w:t xml:space="preserve">lives forever and ever</w:t>
      </w:r>
      <w:r>
        <w:rPr/>
        <w:t xml:space="preserve"> </w:t>
      </w:r>
      <w:r>
        <w:rPr>
          <w:rStyle w:val="FootnoteReference"/>
        </w:rPr>
        <w:footnoteReference w:id="574"/>
      </w:r>
      <w:r>
        <w:rPr/>
        <w:t xml:space="preserve">.</w:t>
      </w:r>
    </w:p>
    <w:p>
      <w:pPr>
        <w:jc w:val="left"/>
        <w:ind w:left="360" w:right="0" w:firstLine="0" w:hanging="0"/>
        <w:spacing w:after="60"/>
      </w:pPr>
      <w:r>
        <w:rPr>
          <w:sz w:val="18"/>
          <w:szCs w:val="18"/>
          <w:i w:val="1"/>
          <w:iCs w:val="1"/>
        </w:rPr>
        <w:t xml:space="preserve">[fn] "Vials" or "bowls".</w:t>
      </w:r>
    </w:p>
    <w:p>
      <w:pPr>
        <w:jc w:val="left"/>
        <w:ind w:left="360" w:right="0" w:firstLine="0" w:hanging="0"/>
        <w:spacing w:after="60"/>
      </w:pPr>
      <w:r>
        <w:rPr>
          <w:sz w:val="18"/>
          <w:szCs w:val="18"/>
          <w:i w:val="1"/>
          <w:iCs w:val="1"/>
        </w:rPr>
        <w:t xml:space="preserve">[fn] We can see that KJV likely gets the translation wrong in verse 15:1 when it marks the seven angels as "full" of wrath, because here we see they receive the vials for the first time, and the vials are what are full, not the angels.</w:t>
      </w:r>
    </w:p>
    <w:p>
      <w:pPr>
        <w:spacing w:after="150"/>
      </w:pPr>
      <w:r>
        <w:rPr/>
        <w:t xml:space="preserve"/>
      </w:r>
    </w:p>
    <w:p>
      <w:pPr>
        <w:pStyle w:val="Heading3"/>
      </w:pPr>
      <w:bookmarkStart w:id="86" w:name="_Toc86"/>
      <w:r>
        <w:t>Temple Closed to Persons</w:t>
      </w:r>
      <w:bookmarkEnd w:id="86"/>
    </w:p>
    <w:p>
      <w:pPr>
        <w:pStyle w:val="SectionBody"/>
      </w:pPr>
      <w:r>
        <w:rPr>
          <w:b w:val="1"/>
          <w:bCs w:val="1"/>
        </w:rPr>
        <w:t xml:space="preserve">Important Note:</w:t>
      </w:r>
      <w:r>
        <w:rPr/>
        <w:t xml:space="preserve"> At this point, no one can enter the temple. This also means no one is in the temple now. So, in Revelation 14:15, when we see the altar angel exiting the temple, it is before this point. Thus, when Jesus is reaping, it is before the Vial plagues. And these plagues are before the account of the first resurrection. So, the pre-vial reaping happens before the dead are raised in the tribulation in Revealtion 20.</w:t>
      </w:r>
    </w:p>
    <w:p>
      <w:pPr>
        <w:spacing w:after="150"/>
      </w:pPr>
      <w:r>
        <w:rPr/>
        <w:t xml:space="preserve"/>
      </w:r>
    </w:p>
    <w:p>
      <w:pPr>
        <w:pStyle w:val="BodyVerse"/>
      </w:pPr>
      <w:r>
        <w:rPr>
          <w:b w:val="1"/>
          <w:bCs w:val="1"/>
        </w:rPr>
        <w:t xml:space="preserve">[[@Bible:Re 15:8]] </w:t>
      </w:r>
      <w:r>
        <w:rPr>
          <w:sz w:val="22"/>
          <w:szCs w:val="22"/>
          <w:b w:val="1"/>
          <w:bCs w:val="1"/>
          <w:vertAlign w:val="superscript"/>
        </w:rPr>
        <w:t xml:space="preserve">8  </w:t>
      </w:r>
      <w:r>
        <w:rPr/>
        <w:t xml:space="preserve">And the </w:t>
      </w:r>
      <w:r>
        <w:rPr>
          <w:b w:val="1"/>
          <w:bCs w:val="1"/>
        </w:rPr>
        <w:t xml:space="preserve">temple</w:t>
      </w:r>
      <w:r>
        <w:rPr/>
        <w:t xml:space="preserve"> </w:t>
      </w:r>
      <w:r>
        <w:rPr>
          <w:rStyle w:val="FootnoteReference"/>
        </w:rPr>
        <w:footnoteReference w:id="575"/>
      </w:r>
      <w:r>
        <w:rPr/>
        <w:t xml:space="preserve"> was filled with smoke from the glory of God, and from his might; and </w:t>
      </w:r>
      <w:r>
        <w:rPr>
          <w:b w:val="1"/>
          <w:bCs w:val="1"/>
        </w:rPr>
        <w:t xml:space="preserve">none was able to enter into the temple</w:t>
      </w:r>
      <w:r>
        <w:rPr/>
        <w:t xml:space="preserve"> </w:t>
      </w:r>
      <w:r>
        <w:rPr>
          <w:rStyle w:val="FootnoteReference"/>
        </w:rPr>
        <w:footnoteReference w:id="576"/>
      </w:r>
      <w:r>
        <w:rPr/>
        <w:t xml:space="preserve">, till the seven plagues of the seven messengers were fulfilled.</w:t>
      </w:r>
    </w:p>
    <w:p>
      <w:pPr>
        <w:jc w:val="left"/>
        <w:ind w:left="360" w:right="0" w:firstLine="0" w:hanging="0"/>
        <w:spacing w:after="60"/>
      </w:pPr>
      <w:r>
        <w:rPr>
          <w:sz w:val="18"/>
          <w:szCs w:val="18"/>
          <w:i w:val="1"/>
          <w:iCs w:val="1"/>
        </w:rPr>
        <w:t xml:space="preserve">[fn] TILL IS VERY IMPORTANT: "none was able to enter into the temple TILL the seven plagues of the seven messengers were fulfilled".</w:t>
      </w:r>
    </w:p>
    <w:p>
      <w:pPr>
        <w:jc w:val="center"/>
        <w:spacing w:before="120" w:after="60"/>
      </w:pPr>
      <w:r>
        <w:rPr>
          <w:sz w:val="36"/>
          <w:szCs w:val="36"/>
          <w:b w:val="1"/>
          <w:bCs w:val="1"/>
        </w:rPr>
        <w:t xml:space="preserve">✶</w:t>
      </w:r>
    </w:p>
    <w:p>
      <w:pPr>
        <w:pStyle w:val="Heading2"/>
      </w:pPr>
      <w:bookmarkStart w:id="87" w:name="_Toc87"/>
      <w:r>
        <w:t>Seven Vial Plagues</w:t>
      </w:r>
      <w:bookmarkEnd w:id="87"/>
    </w:p>
    <w:p>
      <w:pPr>
        <w:pStyle w:val="SectionBody"/>
      </w:pPr>
      <w:r>
        <w:rPr>
          <w:b w:val="1"/>
          <w:bCs w:val="1"/>
        </w:rPr>
        <w:t xml:space="preserve">Linear Scene 1.5a:</w:t>
      </w:r>
      <w:r>
        <w:rPr/>
        <w:t xml:space="preserve"> Only the Father is in the temple now. These vial or bowl plagues occur after the tribulation's pre-vial reaping and before the resurrection of those that died in the tribulation, which will happen in 20:4.</w:t>
      </w:r>
    </w:p>
    <w:p>
      <w:pPr>
        <w:spacing w:after="150"/>
      </w:pPr>
      <w:r>
        <w:rPr/>
        <w:t xml:space="preserve"/>
      </w:r>
    </w:p>
    <w:p>
      <w:pPr>
        <w:pStyle w:val="BodyVerse"/>
      </w:pPr>
      <w:r>
        <w:rPr>
          <w:b w:val="1"/>
          <w:bCs w:val="1"/>
        </w:rPr>
        <w:t xml:space="preserve">[[@Bible:Re 16:1]] </w:t>
      </w:r>
      <w:r>
        <w:rPr>
          <w:sz w:val="22"/>
          <w:szCs w:val="22"/>
          <w:b w:val="1"/>
          <w:bCs w:val="1"/>
          <w:vertAlign w:val="superscript"/>
        </w:rPr>
        <w:t xml:space="preserve">1  </w:t>
      </w:r>
      <w:r>
        <w:rPr/>
        <w:t xml:space="preserve">And I heard </w:t>
      </w:r>
      <w:r>
        <w:rPr>
          <w:b w:val="1"/>
          <w:bCs w:val="1"/>
        </w:rPr>
        <w:t xml:space="preserve">a great voice out of the temple</w:t>
      </w:r>
      <w:r>
        <w:rPr/>
        <w:t xml:space="preserve"> </w:t>
      </w:r>
      <w:r>
        <w:rPr>
          <w:rStyle w:val="FootnoteReference"/>
        </w:rPr>
        <w:footnoteReference w:id="577"/>
      </w:r>
      <w:r>
        <w:rPr/>
        <w:t xml:space="preserve"> saying to the seven messengers, Go </w:t>
      </w:r>
      <w:r>
        <w:rPr/>
        <w:t xml:space="preserve">, and pour out the </w:t>
      </w:r>
      <w:r>
        <w:rPr>
          <w:i w:val="1"/>
          <w:iCs w:val="1"/>
        </w:rPr>
        <w:t xml:space="preserve">[seven]</w:t>
      </w:r>
      <w:r>
        <w:rPr/>
        <w:t xml:space="preserve"> </w:t>
      </w:r>
      <w:r>
        <w:rPr>
          <w:b w:val="1"/>
          <w:bCs w:val="1"/>
        </w:rPr>
        <w:t xml:space="preserve">vials of the wrath of God</w:t>
      </w:r>
      <w:r>
        <w:rPr/>
        <w:t xml:space="preserve"> </w:t>
      </w:r>
      <w:r>
        <w:rPr>
          <w:color w:val="4A6FA5"/>
          <w:sz w:val="18"/>
          <w:szCs w:val="18"/>
        </w:rPr>
        <w:t xml:space="preserve"> (u</w:t>
      </w:r>
      <w:r>
        <w:rPr>
          <w:rStyle w:val="FootnoteReference"/>
        </w:rPr>
        <w:footnoteReference w:id="578"/>
      </w:r>
      <w:r>
        <w:rPr>
          <w:color w:val="4A6FA5"/>
          <w:sz w:val="18"/>
          <w:szCs w:val="18"/>
        </w:rPr>
        <w:t xml:space="preserve">) </w:t>
      </w:r>
      <w:r>
        <w:rPr/>
        <w:t xml:space="preserve"> upon the earth.</w:t>
      </w:r>
    </w:p>
    <w:p>
      <w:pPr>
        <w:jc w:val="left"/>
        <w:ind w:left="360" w:right="0" w:firstLine="0" w:hanging="0"/>
        <w:spacing w:after="60"/>
      </w:pPr>
      <w:r>
        <w:rPr>
          <w:sz w:val="18"/>
          <w:szCs w:val="18"/>
          <w:i w:val="1"/>
          <w:iCs w:val="1"/>
        </w:rPr>
        <w:t xml:space="preserve">[fn] The Father, no one else can be in the temple.</w:t>
      </w:r>
    </w:p>
    <w:p>
      <w:pPr>
        <w:jc w:val="left"/>
        <w:ind w:left="360" w:right="0" w:firstLine="0" w:hanging="0"/>
        <w:spacing w:after="60"/>
      </w:pPr>
      <w:r>
        <w:rPr>
          <w:sz w:val="18"/>
          <w:szCs w:val="18"/>
          <w:i w:val="1"/>
          <w:iCs w:val="1"/>
        </w:rPr>
        <w:t xml:space="preserve">[fn] The "vials of the wrath of God" is a description of what the vials are, not the Father referring to himself in the third person. This titling acts much like "the supper of the great God" in 19:17.</w:t>
      </w:r>
    </w:p>
    <w:p>
      <w:pPr>
        <w:spacing w:after="150"/>
      </w:pPr>
      <w:r>
        <w:rPr/>
        <w:t xml:space="preserve"/>
      </w:r>
    </w:p>
    <w:p>
      <w:pPr>
        <w:pStyle w:val="Heading3"/>
      </w:pPr>
      <w:bookmarkStart w:id="88" w:name="_Toc88"/>
      <w:r>
        <w:t>The First Vial: Earth Sores</w:t>
      </w:r>
      <w:bookmarkEnd w:id="88"/>
    </w:p>
    <w:p>
      <w:pPr>
        <w:pStyle w:val="SectionBody"/>
      </w:pPr>
      <w:r>
        <w:rPr>
          <w:b w:val="1"/>
          <w:bCs w:val="1"/>
        </w:rPr>
        <w:t xml:space="preserve">Important Note:</w:t>
      </w:r>
      <w:r>
        <w:rPr/>
        <w:t xml:space="preserve"> The text here takes an immediate turn from the application of the plagues in Trumpet, where we saw those "have not the seal of God in their foreheads," and this time, "which had the mark of the beast" are noted. This seems to signal a pivot of who is on earth, "the 144,000 are no longer on Earth as they were at the 5th trumpet, so we must identify people by the mark of the beast; the seal of God is not applicable any longer. The 144,000 have been reaped." And, the fact that its identification is specifically at the time of the first vial should also tell us something; the text really feels to be driving that point and knows it needs to do so at the first.</w:t>
      </w:r>
    </w:p>
    <w:p>
      <w:pPr>
        <w:spacing w:after="150"/>
      </w:pPr>
      <w:r>
        <w:rPr/>
        <w:t xml:space="preserve"/>
      </w:r>
    </w:p>
    <w:p>
      <w:pPr>
        <w:pStyle w:val="BodyVerse"/>
      </w:pPr>
      <w:r>
        <w:rPr>
          <w:b w:val="1"/>
          <w:bCs w:val="1"/>
        </w:rPr>
        <w:t xml:space="preserve">[[@Bible:Re 16:2]] </w:t>
      </w:r>
      <w:r>
        <w:rPr>
          <w:sz w:val="22"/>
          <w:szCs w:val="22"/>
          <w:b w:val="1"/>
          <w:bCs w:val="1"/>
          <w:vertAlign w:val="superscript"/>
        </w:rPr>
        <w:t xml:space="preserve">2  </w:t>
      </w:r>
      <w:r>
        <w:rPr/>
        <w:t xml:space="preserve">And the first went, and poured out his vial upon </w:t>
      </w:r>
      <w:r>
        <w:rPr>
          <w:b w:val="1"/>
          <w:bCs w:val="1"/>
        </w:rPr>
        <w:t xml:space="preserve">the earth</w:t>
      </w:r>
      <w:r>
        <w:rPr/>
        <w:t xml:space="preserve"> </w:t>
      </w:r>
      <w:r>
        <w:rPr>
          <w:rStyle w:val="FootnoteReference"/>
        </w:rPr>
        <w:footnoteReference w:id="579"/>
      </w:r>
      <w:r>
        <w:rPr/>
        <w:t xml:space="preserve">; and noisome and grievous sores fell upon the men who had the </w:t>
      </w:r>
      <w:r>
        <w:rPr>
          <w:b w:val="1"/>
          <w:bCs w:val="1"/>
        </w:rPr>
        <w:t xml:space="preserve">mark of the beast</w:t>
      </w:r>
      <w:r>
        <w:rPr/>
        <w:t xml:space="preserve"> </w:t>
      </w:r>
      <w:r>
        <w:rPr>
          <w:rStyle w:val="FootnoteReference"/>
        </w:rPr>
        <w:footnoteReference w:id="580"/>
      </w:r>
      <w:r>
        <w:rPr/>
        <w:t xml:space="preserve"> </w:t>
      </w:r>
      <w:r>
        <w:rPr>
          <w:rStyle w:val="FootnoteReference"/>
        </w:rPr>
        <w:footnoteReference w:id="581"/>
      </w:r>
      <w:r>
        <w:rPr/>
        <w:t xml:space="preserve">, and </w:t>
      </w:r>
      <w:r>
        <w:rPr/>
        <w:t xml:space="preserve">them which </w:t>
      </w:r>
      <w:r>
        <w:rPr>
          <w:b w:val="1"/>
          <w:bCs w:val="1"/>
        </w:rPr>
        <w:t xml:space="preserve">worshipped his image</w:t>
      </w:r>
      <w:r>
        <w:rPr/>
        <w:t xml:space="preserve"> </w:t>
      </w:r>
      <w:r>
        <w:rPr>
          <w:rStyle w:val="FootnoteReference"/>
        </w:rPr>
        <w:footnoteReference w:id="582"/>
      </w:r>
      <w:r>
        <w:rPr/>
        <w:t xml:space="preserve">.</w:t>
      </w:r>
    </w:p>
    <w:p>
      <w:pPr>
        <w:spacing w:after="150"/>
      </w:pPr>
      <w:r>
        <w:rPr/>
        <w:t xml:space="preserve"/>
      </w:r>
    </w:p>
    <w:p>
      <w:pPr>
        <w:pStyle w:val="Heading3"/>
      </w:pPr>
      <w:bookmarkStart w:id="89" w:name="_Toc89"/>
      <w:r>
        <w:t>The Second Vial: Sea to Blood</w:t>
      </w:r>
      <w:bookmarkEnd w:id="89"/>
    </w:p>
    <w:p>
      <w:pPr>
        <w:pStyle w:val="BodyVerse"/>
      </w:pPr>
      <w:r>
        <w:rPr>
          <w:b w:val="1"/>
          <w:bCs w:val="1"/>
        </w:rPr>
        <w:t xml:space="preserve">[[@Bible:Re 16:3]] </w:t>
      </w:r>
      <w:r>
        <w:rPr>
          <w:sz w:val="22"/>
          <w:szCs w:val="22"/>
          <w:b w:val="1"/>
          <w:bCs w:val="1"/>
          <w:vertAlign w:val="superscript"/>
        </w:rPr>
        <w:t xml:space="preserve">3  </w:t>
      </w:r>
      <w:r>
        <w:rPr/>
        <w:t xml:space="preserve">And the second messenger poured out his vial upon </w:t>
      </w:r>
      <w:r>
        <w:rPr>
          <w:b w:val="1"/>
          <w:bCs w:val="1"/>
        </w:rPr>
        <w:t xml:space="preserve">the sea</w:t>
      </w:r>
      <w:r>
        <w:rPr/>
        <w:t xml:space="preserve"> </w:t>
      </w:r>
      <w:r>
        <w:rPr>
          <w:rStyle w:val="FootnoteReference"/>
        </w:rPr>
        <w:footnoteReference w:id="583"/>
      </w:r>
      <w:r>
        <w:rPr/>
        <w:t xml:space="preserve">; and it became as the blood of a corpse: and every living soul died in the sea.</w:t>
      </w:r>
    </w:p>
    <w:p>
      <w:pPr>
        <w:spacing w:after="150"/>
      </w:pPr>
      <w:r>
        <w:rPr/>
        <w:t xml:space="preserve"/>
      </w:r>
    </w:p>
    <w:p>
      <w:pPr>
        <w:pStyle w:val="Heading3"/>
      </w:pPr>
      <w:bookmarkStart w:id="90" w:name="_Toc90"/>
      <w:r>
        <w:t>The Third Vial: Fresh Water to Blood</w:t>
      </w:r>
      <w:bookmarkEnd w:id="90"/>
    </w:p>
    <w:p>
      <w:pPr>
        <w:pStyle w:val="BodyVerse"/>
      </w:pPr>
      <w:r>
        <w:rPr>
          <w:b w:val="1"/>
          <w:bCs w:val="1"/>
        </w:rPr>
        <w:t xml:space="preserve">[[@Bible:Re 16:4]] </w:t>
      </w:r>
      <w:r>
        <w:rPr>
          <w:sz w:val="22"/>
          <w:szCs w:val="22"/>
          <w:b w:val="1"/>
          <w:bCs w:val="1"/>
          <w:vertAlign w:val="superscript"/>
        </w:rPr>
        <w:t xml:space="preserve">4  </w:t>
      </w:r>
      <w:r>
        <w:rPr/>
        <w:t xml:space="preserve">And the third messenger poured out his vial upon </w:t>
      </w:r>
      <w:r>
        <w:rPr>
          <w:b w:val="1"/>
          <w:bCs w:val="1"/>
        </w:rPr>
        <w:t xml:space="preserve">the rivers and fountains of waters</w:t>
      </w:r>
      <w:r>
        <w:rPr/>
        <w:t xml:space="preserve"> </w:t>
      </w:r>
      <w:r>
        <w:rPr>
          <w:rStyle w:val="FootnoteReference"/>
        </w:rPr>
        <w:footnoteReference w:id="584"/>
      </w:r>
      <w:r>
        <w:rPr/>
        <w:t xml:space="preserve">; and they became blood.</w:t>
      </w:r>
    </w:p>
    <w:p>
      <w:pPr>
        <w:pStyle w:val="BodyVerse"/>
      </w:pPr>
      <w:r>
        <w:rPr>
          <w:b w:val="1"/>
          <w:bCs w:val="1"/>
        </w:rPr>
        <w:t xml:space="preserve">[[@Bible:Re 16:5]] </w:t>
      </w:r>
      <w:r>
        <w:rPr>
          <w:sz w:val="22"/>
          <w:szCs w:val="22"/>
          <w:b w:val="1"/>
          <w:bCs w:val="1"/>
          <w:vertAlign w:val="superscript"/>
        </w:rPr>
        <w:t xml:space="preserve">5  </w:t>
      </w:r>
      <w:r>
        <w:rPr/>
        <w:t xml:space="preserve">And I heard the messenger of the waters say, You are righteous, O Holy One, who is and who was,</w:t>
      </w:r>
      <w:r>
        <w:rPr/>
        <w:t xml:space="preserve"> because you have judged so.</w:t>
      </w:r>
    </w:p>
    <w:p>
      <w:pPr>
        <w:pStyle w:val="BodyVerse"/>
      </w:pPr>
      <w:r>
        <w:rPr>
          <w:b w:val="1"/>
          <w:bCs w:val="1"/>
        </w:rPr>
        <w:t xml:space="preserve">[[@Bible:Re 16:6]] </w:t>
      </w:r>
      <w:r>
        <w:rPr>
          <w:sz w:val="22"/>
          <w:szCs w:val="22"/>
          <w:b w:val="1"/>
          <w:bCs w:val="1"/>
          <w:vertAlign w:val="superscript"/>
        </w:rPr>
        <w:t xml:space="preserve">6  </w:t>
      </w:r>
      <w:r>
        <w:rPr/>
        <w:t xml:space="preserve">For they have shed the blood of saints and prophets, and you have given them blood to drink; for they are worthy.</w:t>
      </w:r>
    </w:p>
    <w:p>
      <w:pPr>
        <w:pStyle w:val="BodyVerse"/>
      </w:pPr>
      <w:r>
        <w:rPr>
          <w:b w:val="1"/>
          <w:bCs w:val="1"/>
        </w:rPr>
        <w:t xml:space="preserve">[[@Bible:Re 16:7]] </w:t>
      </w:r>
      <w:r>
        <w:rPr>
          <w:sz w:val="22"/>
          <w:szCs w:val="22"/>
          <w:b w:val="1"/>
          <w:bCs w:val="1"/>
          <w:vertAlign w:val="superscript"/>
        </w:rPr>
        <w:t xml:space="preserve">7  </w:t>
      </w:r>
      <w:r>
        <w:rPr/>
        <w:t xml:space="preserve">And I heard</w:t>
      </w:r>
      <w:r>
        <w:rPr/>
        <w:t xml:space="preserve"> the </w:t>
      </w:r>
      <w:r>
        <w:rPr>
          <w:b w:val="1"/>
          <w:bCs w:val="1"/>
        </w:rPr>
        <w:t xml:space="preserve">altar</w:t>
      </w:r>
      <w:r>
        <w:rPr/>
        <w:t xml:space="preserve"> </w:t>
      </w:r>
      <w:r>
        <w:rPr>
          <w:rStyle w:val="FootnoteReference"/>
        </w:rPr>
        <w:footnoteReference w:id="585"/>
      </w:r>
      <w:r>
        <w:rPr/>
        <w:t xml:space="preserve"> </w:t>
      </w:r>
      <w:r>
        <w:rPr>
          <w:rStyle w:val="FootnoteReference"/>
        </w:rPr>
        <w:footnoteReference w:id="586"/>
      </w:r>
      <w:r>
        <w:rPr/>
        <w:t xml:space="preserve"> </w:t>
      </w:r>
      <w:r>
        <w:rPr>
          <w:rStyle w:val="FootnoteReference"/>
        </w:rPr>
        <w:footnoteReference w:id="587"/>
      </w:r>
      <w:r>
        <w:rPr/>
        <w:t xml:space="preserve"> say, Even so, Lord God Almighty, true and righteous are thy judgments.</w:t>
      </w:r>
    </w:p>
    <w:p>
      <w:pPr>
        <w:jc w:val="left"/>
        <w:ind w:left="360" w:right="0" w:firstLine="0" w:hanging="0"/>
        <w:spacing w:after="60"/>
      </w:pPr>
      <w:r>
        <w:rPr>
          <w:sz w:val="18"/>
          <w:szCs w:val="18"/>
          <w:i w:val="1"/>
          <w:iCs w:val="1"/>
        </w:rPr>
        <w:t xml:space="preserve">[fn] Its not clear what voice is the one from the alter: the alter itself or one by it or over it or under it.</w:t>
      </w:r>
    </w:p>
    <w:p>
      <w:pPr>
        <w:spacing w:after="150"/>
      </w:pPr>
      <w:r>
        <w:rPr/>
        <w:t xml:space="preserve"/>
      </w:r>
    </w:p>
    <w:p>
      <w:pPr>
        <w:pStyle w:val="Heading3"/>
      </w:pPr>
      <w:bookmarkStart w:id="91" w:name="_Toc91"/>
      <w:r>
        <w:t>The Fourth Vial: Scorching Sun of Heaven</w:t>
      </w:r>
      <w:bookmarkEnd w:id="91"/>
    </w:p>
    <w:p>
      <w:pPr>
        <w:pStyle w:val="BodyVerse"/>
      </w:pPr>
      <w:r>
        <w:rPr>
          <w:b w:val="1"/>
          <w:bCs w:val="1"/>
        </w:rPr>
        <w:t xml:space="preserve">[[@Bible:Re 16:8]] </w:t>
      </w:r>
      <w:r>
        <w:rPr>
          <w:sz w:val="22"/>
          <w:szCs w:val="22"/>
          <w:b w:val="1"/>
          <w:bCs w:val="1"/>
          <w:vertAlign w:val="superscript"/>
        </w:rPr>
        <w:t xml:space="preserve">8  </w:t>
      </w:r>
      <w:r>
        <w:rPr/>
        <w:t xml:space="preserve">And the fourth messenger poured out his vial upon the </w:t>
      </w:r>
      <w:r>
        <w:rPr>
          <w:b w:val="1"/>
          <w:bCs w:val="1"/>
        </w:rPr>
        <w:t xml:space="preserve">sun</w:t>
      </w:r>
      <w:r>
        <w:rPr/>
        <w:t xml:space="preserve"> </w:t>
      </w:r>
      <w:r>
        <w:rPr>
          <w:rStyle w:val="FootnoteReference"/>
        </w:rPr>
        <w:footnoteReference w:id="588"/>
      </w:r>
      <w:r>
        <w:rPr/>
        <w:t xml:space="preserve">; </w:t>
      </w:r>
      <w:r>
        <w:rPr>
          <w:b w:val="1"/>
          <w:bCs w:val="1"/>
        </w:rPr>
        <w:t xml:space="preserve">and it was given unto him to scorch men with fire</w:t>
      </w:r>
      <w:r>
        <w:rPr/>
        <w:t xml:space="preserve"> </w:t>
      </w:r>
      <w:r>
        <w:rPr>
          <w:rStyle w:val="FootnoteReference"/>
        </w:rPr>
        <w:footnoteReference w:id="589"/>
      </w:r>
      <w:r>
        <w:rPr/>
        <w:t xml:space="preserve">.</w:t>
      </w:r>
    </w:p>
    <w:p>
      <w:pPr>
        <w:pStyle w:val="BodyVerse"/>
      </w:pPr>
      <w:r>
        <w:rPr>
          <w:b w:val="1"/>
          <w:bCs w:val="1"/>
        </w:rPr>
        <w:t xml:space="preserve">[[@Bible:Re 16:9]] </w:t>
      </w:r>
      <w:r>
        <w:rPr>
          <w:sz w:val="22"/>
          <w:szCs w:val="22"/>
          <w:b w:val="1"/>
          <w:bCs w:val="1"/>
          <w:vertAlign w:val="superscript"/>
        </w:rPr>
        <w:t xml:space="preserve">9  </w:t>
      </w:r>
      <w:r>
        <w:rPr/>
        <w:t xml:space="preserve">And men were scorched with great heat, and blasphemed the name of God, who has power over these plagues: and they repented not to give him glory.</w:t>
      </w:r>
    </w:p>
    <w:p>
      <w:pPr>
        <w:spacing w:after="150"/>
      </w:pPr>
      <w:r>
        <w:rPr/>
        <w:t xml:space="preserve"/>
      </w:r>
    </w:p>
    <w:p>
      <w:pPr>
        <w:pStyle w:val="Heading3"/>
      </w:pPr>
      <w:bookmarkStart w:id="92" w:name="_Toc92"/>
      <w:r>
        <w:t>The Fifth Vial: Pain of Darkness</w:t>
      </w:r>
      <w:bookmarkEnd w:id="92"/>
    </w:p>
    <w:p>
      <w:pPr>
        <w:pStyle w:val="BodyVerse"/>
      </w:pPr>
      <w:r>
        <w:rPr>
          <w:b w:val="1"/>
          <w:bCs w:val="1"/>
        </w:rPr>
        <w:t xml:space="preserve">[[@Bible:Re 16:10]] </w:t>
      </w:r>
      <w:r>
        <w:rPr>
          <w:sz w:val="22"/>
          <w:szCs w:val="22"/>
          <w:b w:val="1"/>
          <w:bCs w:val="1"/>
          <w:vertAlign w:val="superscript"/>
        </w:rPr>
        <w:t xml:space="preserve">10  </w:t>
      </w:r>
      <w:r>
        <w:rPr/>
        <w:t xml:space="preserve">And the fifth messenger poured out his vial upon the </w:t>
      </w:r>
      <w:r>
        <w:rPr>
          <w:b w:val="1"/>
          <w:bCs w:val="1"/>
        </w:rPr>
        <w:t xml:space="preserve">thorn of the beast</w:t>
      </w:r>
      <w:r>
        <w:rPr/>
        <w:t xml:space="preserve"> </w:t>
      </w:r>
      <w:r>
        <w:rPr>
          <w:rStyle w:val="FootnoteReference"/>
        </w:rPr>
        <w:footnoteReference w:id="590"/>
      </w:r>
      <w:r>
        <w:rPr/>
        <w:t xml:space="preserve">; and </w:t>
      </w:r>
      <w:r>
        <w:rPr>
          <w:b w:val="1"/>
          <w:bCs w:val="1"/>
        </w:rPr>
        <w:t xml:space="preserve">his kingdom was full of darkness</w:t>
      </w:r>
      <w:r>
        <w:rPr/>
        <w:t xml:space="preserve"> </w:t>
      </w:r>
      <w:r>
        <w:rPr>
          <w:rStyle w:val="FootnoteReference"/>
        </w:rPr>
        <w:footnoteReference w:id="591"/>
      </w:r>
      <w:r>
        <w:rPr/>
        <w:t xml:space="preserve">; and they gnawed their tongues for pain,</w:t>
      </w:r>
    </w:p>
    <w:p>
      <w:pPr>
        <w:pStyle w:val="BodyVerse"/>
      </w:pPr>
      <w:r>
        <w:rPr>
          <w:b w:val="1"/>
          <w:bCs w:val="1"/>
        </w:rPr>
        <w:t xml:space="preserve">[[@Bible:Re 16:11]] </w:t>
      </w:r>
      <w:r>
        <w:rPr>
          <w:sz w:val="22"/>
          <w:szCs w:val="22"/>
          <w:b w:val="1"/>
          <w:bCs w:val="1"/>
          <w:vertAlign w:val="superscript"/>
        </w:rPr>
        <w:t xml:space="preserve">11  </w:t>
      </w:r>
      <w:r>
        <w:rPr/>
        <w:t xml:space="preserve">And blasphemed the God of heaven because of their pains and their sores, and repented not of their deeds.</w:t>
      </w:r>
    </w:p>
    <w:p>
      <w:pPr>
        <w:spacing w:after="150"/>
      </w:pPr>
      <w:r>
        <w:rPr/>
        <w:t xml:space="preserve"/>
      </w:r>
    </w:p>
    <w:p>
      <w:pPr>
        <w:pStyle w:val="Heading3"/>
      </w:pPr>
      <w:bookmarkStart w:id="93" w:name="_Toc93"/>
      <w:r>
        <w:t>The Sixth Vial: Gathering of Kings by Unclean Spirits</w:t>
      </w:r>
      <w:bookmarkEnd w:id="93"/>
    </w:p>
    <w:p>
      <w:pPr>
        <w:pStyle w:val="SectionBody"/>
      </w:pPr>
      <w:r>
        <w:rPr>
          <w:b w:val="1"/>
          <w:bCs w:val="1"/>
        </w:rPr>
        <w:t xml:space="preserve">Important Note:</w:t>
      </w:r>
      <w:r>
        <w:rPr/>
        <w:t xml:space="preserve"> Genesis 15:18 says, "In the same day the Lord made a covenant with Abram, saying, Unto thy seed have I given this land, from the river of Egypt unto the great river, the river Euphrates" so it seems God is removing the boundary line of the covenant land to judge the kings in His people's land. Further, there is an image here of those in Genesis 10:10, "And the beginning of his kingdom was Babel, and Erech, and Accad, and Calneh, in the land of Shinar." And then speaking of Shinar/Babylon, Genesis 11:2 "And it came to pass, as they journeyed from the east, that they found a plain in the land of Shinar; and they dwelt there." So, it might be the intent of the text that the eastern (rising sun) kings of Babylon cross the boundary line into the promised land, and God will judge them there.</w:t>
      </w:r>
    </w:p>
    <w:p>
      <w:pPr>
        <w:spacing w:after="150"/>
      </w:pPr>
      <w:r>
        <w:rPr/>
        <w:t xml:space="preserve"/>
      </w:r>
    </w:p>
    <w:p>
      <w:pPr>
        <w:pStyle w:val="BodyVerse"/>
      </w:pPr>
      <w:r>
        <w:rPr>
          <w:b w:val="1"/>
          <w:bCs w:val="1"/>
        </w:rPr>
        <w:t xml:space="preserve">[[@Bible:Re 16:12]] </w:t>
      </w:r>
      <w:r>
        <w:rPr>
          <w:sz w:val="22"/>
          <w:szCs w:val="22"/>
          <w:b w:val="1"/>
          <w:bCs w:val="1"/>
          <w:vertAlign w:val="superscript"/>
        </w:rPr>
        <w:t xml:space="preserve">12  </w:t>
      </w:r>
      <w:r>
        <w:rPr/>
        <w:t xml:space="preserve">And the sixth messenger poured out his vial upon the great river </w:t>
      </w:r>
      <w:r>
        <w:rPr>
          <w:b w:val="1"/>
          <w:bCs w:val="1"/>
        </w:rPr>
        <w:t xml:space="preserve">Euphrates</w:t>
      </w:r>
      <w:r>
        <w:rPr/>
        <w:t xml:space="preserve"> </w:t>
      </w:r>
      <w:r>
        <w:rPr>
          <w:rStyle w:val="FootnoteReference"/>
        </w:rPr>
        <w:footnoteReference w:id="592"/>
      </w:r>
      <w:r>
        <w:rPr/>
        <w:t xml:space="preserve">; and the water thereof was dried up, to prepare the way of the kings of the rising of the sun.</w:t>
      </w:r>
    </w:p>
    <w:p>
      <w:pPr>
        <w:jc w:val="left"/>
        <w:ind w:left="360" w:right="0" w:firstLine="0" w:hanging="0"/>
        <w:spacing w:after="60"/>
      </w:pPr>
      <w:r>
        <w:rPr>
          <w:sz w:val="18"/>
          <w:szCs w:val="18"/>
          <w:i w:val="1"/>
          <w:iCs w:val="1"/>
        </w:rPr>
        <w:t xml:space="preserve">[fn] “The rising” (ἀνατολή) is the common Greek expression for “east,” taken from the place of the sun’s rising. Hence “from the rising of the sun” (ἀπὸ ἀνατολῆς ἡλίου) is but a fuller and more literal form of saying “from the east.”</w:t>
      </w:r>
    </w:p>
    <w:p>
      <w:pPr>
        <w:pStyle w:val="BodyVerse"/>
      </w:pPr>
      <w:r>
        <w:rPr>
          <w:b w:val="1"/>
          <w:bCs w:val="1"/>
        </w:rPr>
        <w:t xml:space="preserve">[[@Bible:Re 16:13]] </w:t>
      </w:r>
      <w:r>
        <w:rPr>
          <w:sz w:val="22"/>
          <w:szCs w:val="22"/>
          <w:b w:val="1"/>
          <w:bCs w:val="1"/>
          <w:vertAlign w:val="superscript"/>
        </w:rPr>
        <w:t xml:space="preserve">13  </w:t>
      </w:r>
      <w:r>
        <w:rPr/>
        <w:t xml:space="preserve">And I saw</w:t>
      </w:r>
      <w:r>
        <w:rPr/>
        <w:t xml:space="preserve"> </w:t>
      </w:r>
      <w:r>
        <w:rPr>
          <w:b w:val="1"/>
          <w:bCs w:val="1"/>
        </w:rPr>
        <w:t xml:space="preserve">unclean spirits like frogs</w:t>
      </w:r>
      <w:r>
        <w:rPr/>
        <w:t xml:space="preserve"> </w:t>
      </w:r>
      <w:r>
        <w:rPr>
          <w:rStyle w:val="FootnoteReference"/>
        </w:rPr>
        <w:footnoteReference w:id="593"/>
      </w:r>
      <w:r>
        <w:rPr/>
        <w:t xml:space="preserve"> come out of the mouth of the dragon, and out of the mouth of the beast, and out of the mouth of the false prophet.</w:t>
      </w:r>
    </w:p>
    <w:p>
      <w:pPr>
        <w:pStyle w:val="BodyVerse"/>
      </w:pPr>
      <w:r>
        <w:rPr>
          <w:b w:val="1"/>
          <w:bCs w:val="1"/>
        </w:rPr>
        <w:t xml:space="preserve">[[@Bible:Re 16:14]] </w:t>
      </w:r>
      <w:r>
        <w:rPr>
          <w:sz w:val="22"/>
          <w:szCs w:val="22"/>
          <w:b w:val="1"/>
          <w:bCs w:val="1"/>
          <w:vertAlign w:val="superscript"/>
        </w:rPr>
        <w:t xml:space="preserve">14  </w:t>
      </w:r>
      <w:r>
        <w:rPr/>
        <w:t xml:space="preserve">For they are the </w:t>
      </w:r>
      <w:r>
        <w:rPr>
          <w:b w:val="1"/>
          <w:bCs w:val="1"/>
        </w:rPr>
        <w:t xml:space="preserve">spirits of devils</w:t>
      </w:r>
      <w:r>
        <w:rPr/>
        <w:t xml:space="preserve"> </w:t>
      </w:r>
      <w:r>
        <w:rPr>
          <w:rStyle w:val="FootnoteReference"/>
        </w:rPr>
        <w:footnoteReference w:id="594"/>
      </w:r>
      <w:r>
        <w:rPr/>
        <w:t xml:space="preserve">, working </w:t>
      </w:r>
      <w:r>
        <w:rPr>
          <w:b w:val="1"/>
          <w:bCs w:val="1"/>
        </w:rPr>
        <w:t xml:space="preserve">signs</w:t>
      </w:r>
      <w:r>
        <w:rPr/>
        <w:t xml:space="preserve"> </w:t>
      </w:r>
      <w:r>
        <w:rPr>
          <w:rStyle w:val="FootnoteReference"/>
        </w:rPr>
        <w:footnoteReference w:id="595"/>
      </w:r>
      <w:r>
        <w:rPr/>
        <w:t xml:space="preserve">, who go forth unto the kings of the earth and of the whole world, to gather them to the war of </w:t>
      </w:r>
      <w:r>
        <w:rPr>
          <w:b w:val="1"/>
          <w:bCs w:val="1"/>
        </w:rPr>
        <w:t xml:space="preserve">the great day</w:t>
      </w:r>
      <w:r>
        <w:rPr>
          <w:rStyle w:val="FootnoteReference"/>
        </w:rPr>
        <w:footnoteReference w:id="596"/>
      </w:r>
      <w:r>
        <w:rPr/>
        <w:t xml:space="preserve"> of God Almighty.</w:t>
      </w:r>
    </w:p>
    <w:p>
      <w:pPr>
        <w:jc w:val="left"/>
        <w:ind w:left="360" w:right="0" w:firstLine="0" w:hanging="0"/>
        <w:spacing w:after="60"/>
      </w:pPr>
      <w:r>
        <w:rPr>
          <w:sz w:val="18"/>
          <w:szCs w:val="18"/>
          <w:i w:val="1"/>
          <w:iCs w:val="1"/>
        </w:rPr>
        <w:t xml:space="preserve">[fn] For the "great day" in Revelation 6, we might be tempted to link this verse to that time. This would be a mistake to think of "the great day" as a 24-hour day. This "great day" is titled, not "a day." Revelation 6 shows that the kings of the earth know about the wrath of the Lamb and are stricken with fear for what is coming but not yet. In Revelation 6, like they are saying, "The great day is at the door! Hide!"</w:t>
      </w:r>
    </w:p>
    <w:p>
      <w:pPr>
        <w:spacing w:after="150"/>
      </w:pPr>
      <w:r>
        <w:rPr/>
        <w:t xml:space="preserve"/>
      </w:r>
    </w:p>
    <w:p>
      <w:pPr>
        <w:pStyle w:val="Heading3"/>
      </w:pPr>
      <w:bookmarkStart w:id="94" w:name="_Toc94"/>
      <w:r>
        <w:t>I Come as a Thief</w:t>
      </w:r>
      <w:bookmarkEnd w:id="94"/>
    </w:p>
    <w:p>
      <w:pPr>
        <w:pStyle w:val="SectionBody"/>
      </w:pPr>
      <w:r>
        <w:rPr>
          <w:b w:val="1"/>
          <w:bCs w:val="1"/>
        </w:rPr>
        <w:t xml:space="preserve">Important Note:</w:t>
      </w:r>
      <w:r>
        <w:rPr/>
        <w:t xml:space="preserve"> In 1 Thessalonians 5:4, "But you are not in darkness, brothers, for that day to surprise you like a thief." Paul speaks about the church not being in darkness for this point in time, further confirming the pre-vial reaping before the vial plagues.</w:t>
      </w:r>
    </w:p>
    <w:p>
      <w:pPr>
        <w:spacing w:after="150"/>
      </w:pPr>
      <w:r>
        <w:rPr/>
        <w:t xml:space="preserve"/>
      </w:r>
    </w:p>
    <w:p>
      <w:pPr>
        <w:pStyle w:val="BodyVerse"/>
      </w:pPr>
      <w:r>
        <w:rPr>
          <w:b w:val="1"/>
          <w:bCs w:val="1"/>
        </w:rPr>
        <w:t xml:space="preserve">[[@Bible:Re 16:15]] </w:t>
      </w:r>
      <w:r>
        <w:rPr>
          <w:sz w:val="22"/>
          <w:szCs w:val="22"/>
          <w:b w:val="1"/>
          <w:bCs w:val="1"/>
          <w:vertAlign w:val="superscript"/>
        </w:rPr>
        <w:t xml:space="preserve">15  </w:t>
      </w:r>
      <w:r>
        <w:rPr/>
        <w:t xml:space="preserve">Behold, </w:t>
      </w:r>
      <w:r>
        <w:rPr>
          <w:b w:val="1"/>
          <w:bCs w:val="1"/>
        </w:rPr>
        <w:t xml:space="preserve">I come as a thief</w:t>
      </w:r>
      <w:r>
        <w:rPr/>
        <w:t xml:space="preserve"> </w:t>
      </w:r>
      <w:r>
        <w:rPr>
          <w:rStyle w:val="FootnoteReference"/>
        </w:rPr>
        <w:footnoteReference w:id="597"/>
      </w:r>
      <w:r>
        <w:rPr/>
        <w:t xml:space="preserve">. </w:t>
      </w:r>
      <w:r>
        <w:rPr>
          <w:b w:val="1"/>
          <w:bCs w:val="1"/>
        </w:rPr>
        <w:t xml:space="preserve">Blessed</w:t>
      </w:r>
      <w:r>
        <w:rPr/>
        <w:t xml:space="preserve"> </w:t>
      </w:r>
      <w:r>
        <w:rPr>
          <w:rStyle w:val="FootnoteReference"/>
        </w:rPr>
        <w:footnoteReference w:id="598"/>
      </w:r>
      <w:r>
        <w:rPr/>
        <w:t xml:space="preserve"> is he who watches, and keeps his garments, lest he walk </w:t>
      </w:r>
      <w:r>
        <w:rPr>
          <w:b w:val="1"/>
          <w:bCs w:val="1"/>
        </w:rPr>
        <w:t xml:space="preserve">naked</w:t>
      </w:r>
      <w:r>
        <w:rPr/>
        <w:t xml:space="preserve"> </w:t>
      </w:r>
      <w:r>
        <w:rPr>
          <w:rStyle w:val="FootnoteReference"/>
        </w:rPr>
        <w:footnoteReference w:id="599"/>
      </w:r>
      <w:r>
        <w:rPr/>
        <w:t xml:space="preserve">, and they see his shame.</w:t>
      </w:r>
    </w:p>
    <w:p>
      <w:pPr>
        <w:pStyle w:val="BodyVerse"/>
      </w:pPr>
      <w:r>
        <w:rPr>
          <w:b w:val="1"/>
          <w:bCs w:val="1"/>
        </w:rPr>
        <w:t xml:space="preserve">[[@Bible:Re 16:16]] </w:t>
      </w:r>
      <w:r>
        <w:rPr>
          <w:sz w:val="22"/>
          <w:szCs w:val="22"/>
          <w:b w:val="1"/>
          <w:bCs w:val="1"/>
          <w:vertAlign w:val="superscript"/>
        </w:rPr>
        <w:t xml:space="preserve">16  </w:t>
      </w:r>
      <w:r>
        <w:rPr/>
        <w:t xml:space="preserve">And he gathered them together into a place called in the Hebrew tongue Har-Magedon.</w:t>
      </w:r>
    </w:p>
    <w:p>
      <w:pPr>
        <w:jc w:val="left"/>
        <w:ind w:left="360" w:right="0" w:firstLine="0" w:hanging="0"/>
        <w:spacing w:after="60"/>
      </w:pPr>
      <w:r>
        <w:rPr>
          <w:sz w:val="18"/>
          <w:szCs w:val="18"/>
          <w:i w:val="1"/>
          <w:iCs w:val="1"/>
        </w:rPr>
        <w:t xml:space="preserve">[fn] Har-Magedon is a debated location: Megiddo or Mount Zion.
If Har-Magedon is understood as “Megiddo,” a difficulty arises, since Megiddo itself is not a mountain but a tell (an elevated mound) situated in the Jezreel Valley. There is no place in Scripture where הַר (har) is clearly and explicitly used for an archaeological mound such as this.
While har most often denotes a mountain, it can also refer more broadly to hill country or a regional highland rather than a single peak (Joshua 17:15; Judges 2:9; 1 Kings 20:23). However, it is not naturally applied to a site like Megiddo in the biblical record.
For this reason, the expression “mountain of Megiddo” is not a straightforward geographical designation. It could be argued that Megiddo might become a literal mountain in the future, but this would be a stretch, as the text appears to present the name as something intelligible to its original audience rather than a wholly future geographical transformation.
Megiddo is consistently associated with decisive conflict and national tragedy—most notably the death of Josiah (2 Kings 23:28–30; 2 Chronicles 35:20–25), later echoed in the imagery of great mourning (Zechariah 12:11). Thus, the term may carry symbolic or theological weight rather than strict topographical precision. At the same time, any attempt to define it as a specific “spiritual name” (e.g., a direct identification with Jerusalem or Mount Zion) moves beyond what the text itself explicitly supports and should be held with interpretive caution.
Some scholars read Har-Magedon here as "Mount Zion," which is possible, as we see in 16:19, "the great city" (11:8, 16:19) is divided into three parts. And, "great city" in Revelation (11:8, 16:19, 17:18, 18:10, 18:16, 18:18, 18:19), under the Critical Text, is reserved only for the typology of Babylon.</w:t>
      </w:r>
    </w:p>
    <w:p>
      <w:pPr>
        <w:jc w:val="left"/>
        <w:ind w:left="360" w:right="0" w:firstLine="0" w:hanging="0"/>
        <w:spacing w:after="60"/>
      </w:pPr>
      <w:r>
        <w:rPr>
          <w:sz w:val="18"/>
          <w:szCs w:val="18"/>
          <w:i w:val="1"/>
          <w:iCs w:val="1"/>
        </w:rPr>
        <w:t xml:space="preserve">[fn] If Mystery Babylon in Revelation 17 is this Jerusalem where the kings gather here to burn her with fire and she is completely removed and seen no more at all by the 10 kings, as 17 makes clear, then how does Jesus come to the mountain to fight them in a place completely removed? The simple answer is that Mystery Babylon is not the same place we are reading about the kings gathering to. 
This study suggests that the beast and kings are gathered together in this place (Jerusalem), well after the fall of Mystery Babylon. They gather in 16:14 to fight against the Lord of Lords, and he will overcome them. If Jerusalem is the symbol of Jesus rightful land, these kings seem to gather to war with Jesus over it.</w:t>
      </w:r>
    </w:p>
    <w:p>
      <w:pPr>
        <w:spacing w:after="150"/>
      </w:pPr>
      <w:r>
        <w:rPr/>
        <w:t xml:space="preserve"/>
      </w:r>
    </w:p>
    <w:p>
      <w:pPr>
        <w:pStyle w:val="Heading3"/>
      </w:pPr>
      <w:bookmarkStart w:id="95" w:name="_Toc95"/>
      <w:r>
        <w:t>The Seventh Vial: Voices, Thunders, Lightnings, and Earthquake</w:t>
      </w:r>
      <w:bookmarkEnd w:id="95"/>
    </w:p>
    <w:p>
      <w:pPr>
        <w:pStyle w:val="SectionBody"/>
      </w:pPr>
      <w:r>
        <w:rPr>
          <w:b w:val="1"/>
          <w:bCs w:val="1"/>
        </w:rPr>
        <w:t xml:space="preserve">Important Note:</w:t>
      </w:r>
      <w:r>
        <w:rPr/>
        <w:t xml:space="preserve"> We know this version of "the great city" (16:19) is very likely Jerusalem. The first time we encounter "great city" is in Jerusalem in 11:8. Jerusalem held the title of "great city" until 16:19. When we see "great city" applied again, it is to Mystery Babylon in Revelation 17. However, when Mystery Babylon falls, the cities of the nations are still standing and lament her fall. Here in 16:19, all the cities have fallen, which suggests none are left to mourn for the "great city" in 16:19. Also, speaking of Mystery Babylon, in Revelation 14, we see the "is fallen, is fallen" of Mystery Babylon before the middle of the tribulation and before the temple in heaven is closed. Placing Mystery Babylon of Revelation 17 earlier in the timeline. And, here in 16:19, the "great city" falls after the temple in heaven is closed, and none can enter. This leaves Jerusalem as the only listed "great city" remaining. Mystery Babylon is already gone forever by this point, so the city of 16:19 is very likely Jerusalem (if not certainly given, there are no other options in the text).</w:t>
      </w:r>
    </w:p>
    <w:p>
      <w:pPr>
        <w:pStyle w:val="SectionBody"/>
      </w:pPr>
      <w:r>
        <w:rPr/>
        <w:t xml:space="preserve">Further, Jesus judges this “great city” directly in the winepress of wrath. Mystery Babylon, however, is judged by the ten kings through God's authority. Mystery Babylon "shall be found no more at all" in a physical sense, not allegorical, but the “great city” in 16:19 is only divided into three parts. Numerous other differences make it very hard to justify Jerusalem as Mystery Babylon without many paradoxes or contradictions.</w:t>
      </w:r>
    </w:p>
    <w:p>
      <w:pPr>
        <w:spacing w:after="150"/>
      </w:pPr>
      <w:r>
        <w:rPr/>
        <w:t xml:space="preserve"/>
      </w:r>
    </w:p>
    <w:p>
      <w:pPr>
        <w:pStyle w:val="BodyVerse"/>
      </w:pPr>
      <w:r>
        <w:rPr>
          <w:b w:val="1"/>
          <w:bCs w:val="1"/>
        </w:rPr>
        <w:t xml:space="preserve">[[@Bible:Re 16:17]] </w:t>
      </w:r>
      <w:r>
        <w:rPr>
          <w:sz w:val="22"/>
          <w:szCs w:val="22"/>
          <w:b w:val="1"/>
          <w:bCs w:val="1"/>
          <w:vertAlign w:val="superscript"/>
        </w:rPr>
        <w:t xml:space="preserve">17  </w:t>
      </w:r>
      <w:r>
        <w:rPr/>
        <w:t xml:space="preserve">And the seventh messenger poured out his vial into the air; and there came </w:t>
      </w:r>
      <w:r>
        <w:rPr>
          <w:b w:val="1"/>
          <w:bCs w:val="1"/>
        </w:rPr>
        <w:t xml:space="preserve">a great voice out of the temple</w:t>
      </w:r>
      <w:r>
        <w:rPr/>
        <w:t xml:space="preserve"> </w:t>
      </w:r>
      <w:r>
        <w:rPr>
          <w:rStyle w:val="FootnoteReference"/>
        </w:rPr>
        <w:footnoteReference w:id="600"/>
      </w:r>
      <w:r>
        <w:rPr/>
        <w:t xml:space="preserve">, from the throne, saying, </w:t>
      </w:r>
      <w:r>
        <w:rPr>
          <w:b w:val="1"/>
          <w:bCs w:val="1"/>
        </w:rPr>
        <w:t xml:space="preserve">It is done</w:t>
      </w:r>
      <w:r>
        <w:rPr/>
        <w:t xml:space="preserve"> </w:t>
      </w:r>
      <w:r>
        <w:rPr>
          <w:rStyle w:val="FootnoteReference"/>
        </w:rPr>
        <w:footnoteReference w:id="601"/>
      </w:r>
      <w:r>
        <w:rPr/>
        <w:t xml:space="preserve">.</w:t>
      </w:r>
    </w:p>
    <w:p>
      <w:pPr>
        <w:jc w:val="left"/>
        <w:ind w:left="360" w:right="0" w:firstLine="0" w:hanging="0"/>
        <w:spacing w:after="60"/>
      </w:pPr>
      <w:r>
        <w:rPr>
          <w:sz w:val="18"/>
          <w:szCs w:val="18"/>
          <w:i w:val="1"/>
          <w:iCs w:val="1"/>
        </w:rPr>
        <w:t xml:space="preserve">[fn] The Father is the only one in the temple still, none can enter until all the vials are poured out and its events are not finished until 16:21.</w:t>
      </w:r>
    </w:p>
    <w:p>
      <w:pPr>
        <w:pStyle w:val="BodyVerse"/>
      </w:pPr>
      <w:r>
        <w:rPr>
          <w:b w:val="1"/>
          <w:bCs w:val="1"/>
        </w:rPr>
        <w:t xml:space="preserve">[[@Bible:Re 16:18]] </w:t>
      </w:r>
      <w:r>
        <w:rPr>
          <w:sz w:val="22"/>
          <w:szCs w:val="22"/>
          <w:b w:val="1"/>
          <w:bCs w:val="1"/>
          <w:vertAlign w:val="superscript"/>
        </w:rPr>
        <w:t xml:space="preserve">18  </w:t>
      </w:r>
      <w:r>
        <w:rPr/>
        <w:t xml:space="preserve">And there were </w:t>
      </w:r>
      <w:r>
        <w:rPr>
          <w:b w:val="1"/>
          <w:bCs w:val="1"/>
        </w:rPr>
        <w:t xml:space="preserve">lightnings, and voices, and thunders; and there was a great earthquake</w:t>
      </w:r>
      <w:r>
        <w:rPr/>
        <w:t xml:space="preserve"> </w:t>
      </w:r>
      <w:r>
        <w:rPr>
          <w:rStyle w:val="FootnoteReference"/>
        </w:rPr>
        <w:footnoteReference w:id="602"/>
      </w:r>
      <w:r>
        <w:rPr/>
        <w:t xml:space="preserve">, such as was not since men were upon the earth, of such magnitude an earthquake, so great.</w:t>
      </w:r>
    </w:p>
    <w:p>
      <w:pPr>
        <w:jc w:val="left"/>
        <w:ind w:left="360" w:right="0" w:firstLine="0" w:hanging="0"/>
        <w:spacing w:after="60"/>
      </w:pPr>
      <w:r>
        <w:rPr>
          <w:sz w:val="18"/>
          <w:szCs w:val="18"/>
          <w:i w:val="1"/>
          <w:iCs w:val="1"/>
        </w:rPr>
        <w:t xml:space="preserve">[fn] The phrase "of such magnitude an earthquake, so great" declares twice that the earthquake is great by "magnitude/mighty" and "so great". In Greek is "τηλικοῦτος σεισμὸς οὕτως μέγας" (NA28), intensifying the description beyond the simple adjective μέγας (“great”). The term τηλικοῦτος (tēlikoutos) denotes “of such magnitude” or “so great in extent,” functioning as a demonstrative of degree rather than a synonym for greatness itself. Thus, the construction is deliberately emphatic, yielding a hyper-literal sense: “an earthquake of such magnitude, so great.” The repetition is rhetorical, underscoring the event's unparalleled nature rather than introducing a new descriptive category. This is important because we see a great earthquake (σεισμὸς μέγας) in many places, such as the 6th seal, but none of them are as distinguished as the earthquake in 16:18.</w:t>
      </w:r>
    </w:p>
    <w:p>
      <w:pPr>
        <w:pStyle w:val="BodyVerse"/>
      </w:pPr>
      <w:r>
        <w:rPr>
          <w:b w:val="1"/>
          <w:bCs w:val="1"/>
        </w:rPr>
        <w:t xml:space="preserve">[[@Bible:Re 16:19]] </w:t>
      </w:r>
      <w:r>
        <w:rPr>
          <w:sz w:val="22"/>
          <w:szCs w:val="22"/>
          <w:b w:val="1"/>
          <w:bCs w:val="1"/>
          <w:vertAlign w:val="superscript"/>
        </w:rPr>
        <w:t xml:space="preserve">19  </w:t>
      </w:r>
      <w:r>
        <w:rPr/>
        <w:t xml:space="preserve">And </w:t>
      </w:r>
      <w:r>
        <w:rPr>
          <w:b w:val="1"/>
          <w:bCs w:val="1"/>
        </w:rPr>
        <w:t xml:space="preserve">the great city</w:t>
      </w:r>
      <w:r>
        <w:rPr/>
        <w:t xml:space="preserve"> </w:t>
      </w:r>
      <w:r>
        <w:rPr>
          <w:rStyle w:val="FootnoteReference"/>
        </w:rPr>
        <w:footnoteReference w:id="603"/>
      </w:r>
      <w:r>
        <w:rPr/>
        <w:t xml:space="preserve"> </w:t>
      </w:r>
      <w:r>
        <w:rPr>
          <w:rStyle w:val="FootnoteReference"/>
        </w:rPr>
        <w:footnoteReference w:id="604"/>
      </w:r>
      <w:r>
        <w:rPr/>
        <w:t xml:space="preserve"> was </w:t>
      </w:r>
      <w:r>
        <w:rPr>
          <w:i w:val="1"/>
          <w:iCs w:val="1"/>
        </w:rPr>
        <w:t xml:space="preserve">[divided]</w:t>
      </w:r>
      <w:r>
        <w:rPr/>
        <w:t xml:space="preserve"> into three parts, and the cities of the nations fell: and </w:t>
      </w:r>
      <w:r>
        <w:rPr>
          <w:b w:val="1"/>
          <w:bCs w:val="1"/>
        </w:rPr>
        <w:t xml:space="preserve">great Babylon</w:t>
      </w:r>
      <w:r>
        <w:rPr/>
        <w:t xml:space="preserve"> </w:t>
      </w:r>
      <w:r>
        <w:rPr>
          <w:rStyle w:val="FootnoteReference"/>
        </w:rPr>
        <w:footnoteReference w:id="605"/>
      </w:r>
      <w:r>
        <w:rPr/>
        <w:t xml:space="preserve"> came in remembrance before God, to give unto her </w:t>
      </w:r>
      <w:r>
        <w:rPr>
          <w:b w:val="1"/>
          <w:bCs w:val="1"/>
        </w:rPr>
        <w:t xml:space="preserve">the cup of the wine of the fierceness of his wrath</w:t>
      </w:r>
      <w:r>
        <w:rPr/>
        <w:t xml:space="preserve"> </w:t>
      </w:r>
      <w:r>
        <w:rPr>
          <w:color w:val="4A6FA5"/>
          <w:sz w:val="18"/>
          <w:szCs w:val="18"/>
        </w:rPr>
        <w:t xml:space="preserve"> (w</w:t>
      </w:r>
      <w:r>
        <w:rPr>
          <w:rStyle w:val="FootnoteReference"/>
        </w:rPr>
        <w:footnoteReference w:id="606"/>
      </w:r>
      <w:r>
        <w:rPr>
          <w:color w:val="4A6FA5"/>
          <w:sz w:val="18"/>
          <w:szCs w:val="18"/>
        </w:rPr>
        <w:t xml:space="preserve">) </w:t>
      </w:r>
      <w:r>
        <w:rPr/>
        <w:t xml:space="preserve"> </w:t>
      </w:r>
      <w:r>
        <w:rPr>
          <w:rStyle w:val="FootnoteReference"/>
        </w:rPr>
        <w:footnoteReference w:id="607"/>
      </w:r>
      <w:r>
        <w:rPr/>
        <w:t xml:space="preserve">.</w:t>
      </w:r>
    </w:p>
    <w:p>
      <w:pPr>
        <w:jc w:val="left"/>
        <w:ind w:left="360" w:right="0" w:firstLine="0" w:hanging="0"/>
        <w:spacing w:after="60"/>
      </w:pPr>
      <w:r>
        <w:rPr>
          <w:sz w:val="18"/>
          <w:szCs w:val="18"/>
          <w:i w:val="1"/>
          <w:iCs w:val="1"/>
        </w:rPr>
        <w:t xml:space="preserve">[fn] This story about the winepress will pick back up in 19:15. The parenthetical about Mystery Babylon and the wedding supper of the Lamb will interrupt the story about "the wine of the fierceness of his wrath".</w:t>
      </w:r>
    </w:p>
    <w:p>
      <w:pPr>
        <w:jc w:val="left"/>
        <w:ind w:left="360" w:right="0" w:firstLine="0" w:hanging="0"/>
        <w:spacing w:after="60"/>
      </w:pPr>
      <w:r>
        <w:rPr>
          <w:sz w:val="18"/>
          <w:szCs w:val="18"/>
          <w:i w:val="1"/>
          <w:iCs w:val="1"/>
        </w:rPr>
        <w:t xml:space="preserve">[fn] When the text says "great Babylon came in **remembrance before God**", it does not require that it is referring to Mystery Babylon. The text only appears to connect this "great city" with the typology of Babylon.</w:t>
      </w:r>
    </w:p>
    <w:p>
      <w:pPr>
        <w:pStyle w:val="BodyVerse"/>
      </w:pPr>
      <w:r>
        <w:rPr>
          <w:b w:val="1"/>
          <w:bCs w:val="1"/>
        </w:rPr>
        <w:t xml:space="preserve">[[@Bible:Re 16:20]] </w:t>
      </w:r>
      <w:r>
        <w:rPr>
          <w:sz w:val="22"/>
          <w:szCs w:val="22"/>
          <w:b w:val="1"/>
          <w:bCs w:val="1"/>
          <w:vertAlign w:val="superscript"/>
        </w:rPr>
        <w:t xml:space="preserve">20  </w:t>
      </w:r>
      <w:r>
        <w:rPr/>
        <w:t xml:space="preserve">And every island fled away, and the mountains were not found.</w:t>
      </w:r>
    </w:p>
    <w:p>
      <w:pPr>
        <w:jc w:val="left"/>
        <w:ind w:left="360" w:right="0" w:firstLine="0" w:hanging="0"/>
        <w:spacing w:after="60"/>
      </w:pPr>
      <w:r>
        <w:rPr>
          <w:sz w:val="18"/>
          <w:szCs w:val="18"/>
          <w:i w:val="1"/>
          <w:iCs w:val="1"/>
        </w:rPr>
        <w:t xml:space="preserve">[fn] Again, this is very distinct from the earthquake and judgment from the 6th seal. In the 6th seal, the mountains are moved, but not utterly removed. And if the mountains are removed in the 6th seal, how do the kings hide in the rocks? It seems simple; the 6th seal and this plague are not linked. The intensity of judgment grows from the 6th seal to now at the vials.</w:t>
      </w:r>
    </w:p>
    <w:p>
      <w:pPr>
        <w:pStyle w:val="BodyVerse"/>
      </w:pPr>
      <w:r>
        <w:rPr>
          <w:b w:val="1"/>
          <w:bCs w:val="1"/>
        </w:rPr>
        <w:t xml:space="preserve">[[@Bible:Re 16:21]] </w:t>
      </w:r>
      <w:r>
        <w:rPr>
          <w:sz w:val="22"/>
          <w:szCs w:val="22"/>
          <w:b w:val="1"/>
          <w:bCs w:val="1"/>
          <w:vertAlign w:val="superscript"/>
        </w:rPr>
        <w:t xml:space="preserve">21  </w:t>
      </w:r>
      <w:r>
        <w:rPr/>
        <w:t xml:space="preserve">And </w:t>
      </w:r>
      <w:r>
        <w:rPr>
          <w:b w:val="1"/>
          <w:bCs w:val="1"/>
        </w:rPr>
        <w:t xml:space="preserve">great hail, every stone about the weight of a talent, fell out of heaven upon men</w:t>
      </w:r>
      <w:r>
        <w:rPr/>
        <w:t xml:space="preserve"> </w:t>
      </w:r>
      <w:r>
        <w:rPr>
          <w:rStyle w:val="FootnoteReference"/>
        </w:rPr>
        <w:footnoteReference w:id="608"/>
      </w:r>
      <w:r>
        <w:rPr/>
        <w:t xml:space="preserve">: and men blasphemed God because of the plague of the hail; for the plague thereof was exceeding great.</w:t>
      </w:r>
    </w:p>
    <w:p>
      <w:pPr>
        <w:jc w:val="center"/>
        <w:spacing w:before="120" w:after="60"/>
      </w:pPr>
      <w:r>
        <w:rPr>
          <w:sz w:val="36"/>
          <w:szCs w:val="36"/>
          <w:b w:val="1"/>
          <w:bCs w:val="1"/>
        </w:rPr>
        <w:t xml:space="preserve">✶</w:t>
      </w:r>
    </w:p>
    <w:p>
      <w:pPr>
        <w:pStyle w:val="Heading2"/>
      </w:pPr>
      <w:bookmarkStart w:id="96" w:name="_Toc96"/>
      <w:r>
        <w:t>Vision of Mystery Babylon and The 10 Kings</w:t>
      </w:r>
      <w:bookmarkEnd w:id="96"/>
    </w:p>
    <w:p>
      <w:pPr>
        <w:pStyle w:val="SectionBody"/>
      </w:pPr>
      <w:r>
        <w:rPr>
          <w:b w:val="1"/>
          <w:bCs w:val="1"/>
        </w:rPr>
        <w:t xml:space="preserve">Parenthetical Scene 6.1:</w:t>
      </w:r>
      <w:r>
        <w:rPr/>
        <w:t xml:space="preserve"> When [Mystery Babylon](/articles/why-mystery-babylon.html) falls, it is burned by the 10 kings and removed from existence forever — like when God overthrew the previous one in Isaiah 13:19-20. Once burned by the ten kings, the kings of the world lament her fall because they cannot buy from her, as their cities still stand.</w:t>
      </w:r>
    </w:p>
    <w:p>
      <w:pPr>
        <w:pStyle w:val="SectionBody"/>
      </w:pPr>
      <w:r>
        <w:rPr>
          <w:b w:val="1"/>
          <w:bCs w:val="1"/>
        </w:rPr>
        <w:t xml:space="preserve">Very Important:</w:t>
      </w:r>
      <w:r>
        <w:rPr/>
        <w:t xml:space="preserve"> Mystery Babylon might feel like the city we just read about in Revelation 16. Yet, how can the merchants of the earth mourn for Mystery Babylon, as we are about to read, after all the cities of the earth have fallen, if it is the same as Jerusalem? Do they not mourn their own cities? And, why is the woman riding the dragon if the beast and the kings are aligned with one another? If Mystery Babylon is Jerusalem, are they not already overpowering her at the time of Revelation 13 and the abomination of desolation? All the mountains are removed already in Revelation 16, and Jerusalem is split into three parts; is she not already destroyed? The answer seems simple: they are not the same, and Revelation 16 is not a lead into Revelation 17 as a linear sequence of events.</w:t>
      </w:r>
    </w:p>
    <w:p>
      <w:pPr>
        <w:pStyle w:val="SectionBody"/>
      </w:pPr>
      <w:r>
        <w:rPr>
          <w:b w:val="1"/>
          <w:bCs w:val="1"/>
        </w:rPr>
        <w:t xml:space="preserve">Important Note:</w:t>
      </w:r>
      <w:r>
        <w:rPr/>
        <w:t xml:space="preserve"> The woman has the power and is riding the red dragon. The ten kings will give their power to the dragon so that she can be removed, Revelation 17:13.</w:t>
      </w:r>
    </w:p>
    <w:p>
      <w:pPr>
        <w:pStyle w:val="SectionBody"/>
      </w:pPr>
      <w:r>
        <w:rPr>
          <w:b w:val="1"/>
          <w:bCs w:val="1"/>
        </w:rPr>
        <w:t xml:space="preserve">Bookends:</w:t>
      </w:r>
      <w:r>
        <w:rPr/>
        <w:t xml:space="preserve"> Woman "the whore" at the start (17:1) and ends with the bride (woman) of Christ (19:7).</w:t>
      </w:r>
    </w:p>
    <w:p>
      <w:pPr>
        <w:spacing w:after="150"/>
      </w:pPr>
      <w:r>
        <w:rPr/>
        <w:t xml:space="preserve"/>
      </w:r>
    </w:p>
    <w:p>
      <w:pPr>
        <w:spacing w:after="150"/>
      </w:pPr>
      <w:r>
        <w:rPr/>
        <w:t xml:space="preserve"/>
      </w:r>
    </w:p>
    <w:p>
      <w:pPr>
        <w:pStyle w:val="Heading3"/>
      </w:pPr>
      <w:bookmarkStart w:id="97" w:name="_Toc97"/>
      <w:r>
        <w:t>Mystery Babylon: The Great Whore</w:t>
      </w:r>
      <w:bookmarkEnd w:id="97"/>
    </w:p>
    <w:p>
      <w:pPr>
        <w:pStyle w:val="SectionBody"/>
      </w:pPr>
      <w:r>
        <w:rPr>
          <w:b w:val="1"/>
          <w:bCs w:val="1"/>
        </w:rPr>
        <w:t xml:space="preserve">Important Note</w:t>
      </w:r>
      <w:r>
        <w:rPr/>
        <w:t xml:space="preserve">: Isaiah 13:19-20, Jeremiah 50:39 say of the Babylon of the Old Testament that it "shall be no more inhabited for ever". This shows that Mystery Babylon is likely a spiritual, typological successor to the Babylon of the Old Testament, rather than to the Babylon in Mesopotamia (Shinar) that would be reestablished. Thus, the Old Testament seems to disqualify the building of a new Babylon in Mesopotamia or Shinar.</w:t>
      </w:r>
    </w:p>
    <w:p>
      <w:pPr>
        <w:spacing w:after="150"/>
      </w:pPr>
      <w:r>
        <w:rPr/>
        <w:t xml:space="preserve"/>
      </w:r>
    </w:p>
    <w:p>
      <w:pPr>
        <w:pStyle w:val="BodyVerse"/>
      </w:pPr>
      <w:r>
        <w:rPr>
          <w:b w:val="1"/>
          <w:bCs w:val="1"/>
        </w:rPr>
        <w:t xml:space="preserve">[[@Bible:Re 17:1]] </w:t>
      </w:r>
      <w:r>
        <w:rPr>
          <w:sz w:val="22"/>
          <w:szCs w:val="22"/>
          <w:b w:val="1"/>
          <w:bCs w:val="1"/>
          <w:vertAlign w:val="superscript"/>
        </w:rPr>
        <w:t xml:space="preserve">1  </w:t>
      </w:r>
      <w:r>
        <w:rPr/>
        <w:t xml:space="preserve">And there came one of the seven messengers who had the seven vials, and talked with me, saying unto me, </w:t>
      </w:r>
      <w:r>
        <w:rPr>
          <w:b w:val="1"/>
          <w:bCs w:val="1"/>
        </w:rPr>
        <w:t xml:space="preserve">Come on</w:t>
      </w:r>
      <w:r>
        <w:rPr/>
        <w:t xml:space="preserve"> </w:t>
      </w:r>
      <w:r>
        <w:rPr>
          <w:rStyle w:val="FootnoteReference"/>
        </w:rPr>
        <w:footnoteReference w:id="609"/>
      </w:r>
      <w:r>
        <w:rPr/>
        <w:t xml:space="preserve">, I will show unto you the judgment of the </w:t>
      </w:r>
      <w:r>
        <w:rPr>
          <w:b w:val="1"/>
          <w:bCs w:val="1"/>
        </w:rPr>
        <w:t xml:space="preserve">great whore</w:t>
      </w:r>
      <w:r>
        <w:rPr/>
        <w:t xml:space="preserve"> </w:t>
      </w:r>
      <w:r>
        <w:rPr>
          <w:rStyle w:val="FootnoteReference"/>
        </w:rPr>
        <w:footnoteReference w:id="610"/>
      </w:r>
      <w:r>
        <w:rPr/>
        <w:t xml:space="preserve"> that sits upon many waters:</w:t>
      </w:r>
    </w:p>
    <w:p>
      <w:pPr>
        <w:pStyle w:val="BodyVerse"/>
      </w:pPr>
      <w:r>
        <w:rPr>
          <w:b w:val="1"/>
          <w:bCs w:val="1"/>
        </w:rPr>
        <w:t xml:space="preserve">[[@Bible:Re 17:2]] </w:t>
      </w:r>
      <w:r>
        <w:rPr>
          <w:sz w:val="22"/>
          <w:szCs w:val="22"/>
          <w:b w:val="1"/>
          <w:bCs w:val="1"/>
          <w:vertAlign w:val="superscript"/>
        </w:rPr>
        <w:t xml:space="preserve">2  </w:t>
      </w:r>
      <w:r>
        <w:rPr/>
        <w:t xml:space="preserve">With whom the kings of the earth have committed fornication, and the inhabitants of the earth have been made </w:t>
      </w:r>
      <w:r>
        <w:rPr>
          <w:b w:val="1"/>
          <w:bCs w:val="1"/>
        </w:rPr>
        <w:t xml:space="preserve">drunk with the wine of her fornication</w:t>
      </w:r>
      <w:r>
        <w:rPr/>
        <w:t xml:space="preserve"> </w:t>
      </w:r>
      <w:r>
        <w:rPr>
          <w:rStyle w:val="FootnoteReference"/>
        </w:rPr>
        <w:footnoteReference w:id="611"/>
      </w:r>
      <w:r>
        <w:rPr/>
        <w:t xml:space="preserve">.</w:t>
      </w:r>
    </w:p>
    <w:p>
      <w:pPr>
        <w:pStyle w:val="BodyVerse"/>
      </w:pPr>
      <w:r>
        <w:rPr>
          <w:b w:val="1"/>
          <w:bCs w:val="1"/>
        </w:rPr>
        <w:t xml:space="preserve">[[@Bible:Re 17:3]] </w:t>
      </w:r>
      <w:r>
        <w:rPr>
          <w:sz w:val="22"/>
          <w:szCs w:val="22"/>
          <w:b w:val="1"/>
          <w:bCs w:val="1"/>
          <w:vertAlign w:val="superscript"/>
        </w:rPr>
        <w:t xml:space="preserve">3  </w:t>
      </w:r>
      <w:r>
        <w:rPr/>
        <w:t xml:space="preserve">And he carried me away in the spirit into the </w:t>
      </w:r>
      <w:r>
        <w:rPr>
          <w:b w:val="1"/>
          <w:bCs w:val="1"/>
        </w:rPr>
        <w:t xml:space="preserve">wilderness</w:t>
      </w:r>
      <w:r>
        <w:rPr/>
        <w:t xml:space="preserve"> </w:t>
      </w:r>
      <w:r>
        <w:rPr>
          <w:rStyle w:val="FootnoteReference"/>
        </w:rPr>
        <w:footnoteReference w:id="612"/>
      </w:r>
      <w:r>
        <w:rPr/>
        <w:t xml:space="preserve"> </w:t>
      </w:r>
      <w:r>
        <w:rPr>
          <w:rStyle w:val="FootnoteReference"/>
        </w:rPr>
        <w:footnoteReference w:id="613"/>
      </w:r>
      <w:r>
        <w:rPr/>
        <w:t xml:space="preserve">: and I saw a woman sit upon a </w:t>
      </w:r>
      <w:r>
        <w:rPr>
          <w:b w:val="1"/>
          <w:bCs w:val="1"/>
        </w:rPr>
        <w:t xml:space="preserve">scarlet colored beast</w:t>
      </w:r>
      <w:r>
        <w:rPr/>
        <w:t xml:space="preserve"> </w:t>
      </w:r>
      <w:r>
        <w:rPr>
          <w:color w:val="4A6FA5"/>
          <w:sz w:val="18"/>
          <w:szCs w:val="18"/>
        </w:rPr>
        <w:t xml:space="preserve"> (d</w:t>
      </w:r>
      <w:r>
        <w:rPr>
          <w:rStyle w:val="FootnoteReference"/>
        </w:rPr>
        <w:footnoteReference w:id="614"/>
      </w:r>
      <w:r>
        <w:rPr>
          <w:color w:val="4A6FA5"/>
          <w:sz w:val="18"/>
          <w:szCs w:val="18"/>
        </w:rPr>
        <w:t xml:space="preserve">) </w:t>
      </w:r>
      <w:r>
        <w:rPr/>
        <w:t xml:space="preserve">, full of </w:t>
      </w:r>
      <w:r>
        <w:rPr>
          <w:b w:val="1"/>
          <w:bCs w:val="1"/>
        </w:rPr>
        <w:t xml:space="preserve">names of blasphemy</w:t>
      </w:r>
      <w:r>
        <w:rPr/>
        <w:t xml:space="preserve"> </w:t>
      </w:r>
      <w:r>
        <w:rPr>
          <w:rStyle w:val="FootnoteReference"/>
        </w:rPr>
        <w:footnoteReference w:id="615"/>
      </w:r>
      <w:r>
        <w:rPr/>
        <w:t xml:space="preserve">, having </w:t>
      </w:r>
      <w:r>
        <w:rPr>
          <w:b w:val="1"/>
          <w:bCs w:val="1"/>
        </w:rPr>
        <w:t xml:space="preserve">seven heads and ten horns</w:t>
      </w:r>
      <w:r>
        <w:rPr/>
        <w:t xml:space="preserve"> </w:t>
      </w:r>
      <w:r>
        <w:rPr>
          <w:rStyle w:val="FootnoteReference"/>
        </w:rPr>
        <w:footnoteReference w:id="616"/>
      </w:r>
      <w:r>
        <w:rPr/>
        <w:t xml:space="preserve"> </w:t>
      </w:r>
      <w:r>
        <w:rPr>
          <w:rStyle w:val="FootnoteReference"/>
        </w:rPr>
        <w:footnoteReference w:id="617"/>
      </w:r>
      <w:r>
        <w:rPr/>
        <w:t xml:space="preserve">.</w:t>
      </w:r>
    </w:p>
    <w:p>
      <w:pPr>
        <w:jc w:val="left"/>
        <w:ind w:left="360" w:right="0" w:firstLine="0" w:hanging="0"/>
        <w:spacing w:after="60"/>
      </w:pPr>
      <w:r>
        <w:rPr>
          <w:sz w:val="18"/>
          <w:szCs w:val="18"/>
          <w:i w:val="1"/>
          <w:iCs w:val="1"/>
        </w:rPr>
        <w:t xml:space="preserve">[fn] Red Dragon, the Devil, and Satan — This (d) designation appears to function as a synchronizing literary device, linking back to the beginning of Revelation 12, where the fiery-red dragon is first introduced. This suggests that the fall of Mystery Babylon and the rise or appearance of the red beast align in timing with the dragon’s emergence in Revelation 12. Accordingly, the attack on the woman (Rev 12) and the destruction of the whore (Rev 17) may be understood as occurring in close proximity, both carried out by the red beast in concert with the ten kings.</w:t>
      </w:r>
    </w:p>
    <w:p>
      <w:pPr>
        <w:jc w:val="left"/>
        <w:ind w:left="360" w:right="0" w:firstLine="0" w:hanging="0"/>
        <w:spacing w:after="60"/>
      </w:pPr>
      <w:r>
        <w:rPr>
          <w:sz w:val="18"/>
          <w:szCs w:val="18"/>
          <w:i w:val="1"/>
          <w:iCs w:val="1"/>
        </w:rPr>
        <w:t xml:space="preserve">[fn] The names of blasphemy are on the scarlet-colored beast, not on the woman. The phrase "the name of blasphemy" or "names of blasphemy" on the head of the sea beast (Rev 12) is not sufficient to identify it as this red beast of Revelation 17:3 as being the sea beast with confidence. Although the red beast in 17:3 may resemble the sea beast, it is actually the fiery-red dragon. We know the beast in 17:3 is the dragon because it ascends from the bottomless pit, and only Satan is said to come out of the pit. By contrast, the sea beast is cast directly into the lake of fire. Other reasons include: the beast (dragon) is noted as having first "seven heads" and then "ten horns," whereas the seat beast leads with "ten horns" instead, the Dragon is red, whereas we do not know the color of the sea beast, and the sea beast ascends from the sea, not the bottomless pit. So, up to this point, we were not told that the dragon bears a name of blasphemy, and now we know.</w:t>
      </w:r>
    </w:p>
    <w:p>
      <w:pPr>
        <w:jc w:val="left"/>
        <w:ind w:left="360" w:right="0" w:firstLine="0" w:hanging="0"/>
        <w:spacing w:after="60"/>
      </w:pPr>
      <w:r>
        <w:rPr>
          <w:sz w:val="18"/>
          <w:szCs w:val="18"/>
          <w:i w:val="1"/>
          <w:iCs w:val="1"/>
        </w:rPr>
        <w:t xml:space="preserve">[fn] No diadems shown, seem to indicate the ten kings and the seven heads do not have power at this time; the whore does.</w:t>
      </w:r>
    </w:p>
    <w:p>
      <w:pPr>
        <w:spacing w:after="150"/>
      </w:pPr>
      <w:r>
        <w:rPr/>
        <w:t xml:space="preserve"/>
      </w:r>
    </w:p>
    <w:p>
      <w:pPr>
        <w:pStyle w:val="Heading3"/>
      </w:pPr>
      <w:bookmarkStart w:id="98" w:name="_Toc98"/>
      <w:r>
        <w:t>False Wealth</w:t>
      </w:r>
      <w:bookmarkEnd w:id="98"/>
    </w:p>
    <w:p>
      <w:pPr>
        <w:pStyle w:val="BodyVerse"/>
      </w:pPr>
      <w:r>
        <w:rPr>
          <w:b w:val="1"/>
          <w:bCs w:val="1"/>
        </w:rPr>
        <w:t xml:space="preserve">[[@Bible:Re 17:4]] </w:t>
      </w:r>
      <w:r>
        <w:rPr>
          <w:sz w:val="22"/>
          <w:szCs w:val="22"/>
          <w:b w:val="1"/>
          <w:bCs w:val="1"/>
          <w:vertAlign w:val="superscript"/>
        </w:rPr>
        <w:t xml:space="preserve">4  </w:t>
      </w:r>
      <w:r>
        <w:rPr/>
        <w:t xml:space="preserve">And the woman was arrayed in purple and scarlet color, and decked with gold and precious stones and pearls, </w:t>
      </w:r>
      <w:r>
        <w:rPr>
          <w:b w:val="1"/>
          <w:bCs w:val="1"/>
        </w:rPr>
        <w:t xml:space="preserve">having a golden cup in her hand</w:t>
      </w:r>
      <w:r>
        <w:rPr>
          <w:rStyle w:val="FootnoteReference"/>
        </w:rPr>
        <w:footnoteReference w:id="618"/>
      </w:r>
      <w:r>
        <w:rPr/>
        <w:t xml:space="preserve"> full of abominations and filthiness of her fornication:</w:t>
      </w:r>
    </w:p>
    <w:p>
      <w:pPr>
        <w:pStyle w:val="BodyVerse"/>
      </w:pPr>
      <w:r>
        <w:rPr>
          <w:b w:val="1"/>
          <w:bCs w:val="1"/>
        </w:rPr>
        <w:t xml:space="preserve">[[@Bible:Re 17:5]] </w:t>
      </w:r>
      <w:r>
        <w:rPr>
          <w:sz w:val="22"/>
          <w:szCs w:val="22"/>
          <w:b w:val="1"/>
          <w:bCs w:val="1"/>
          <w:vertAlign w:val="superscript"/>
        </w:rPr>
        <w:t xml:space="preserve">5  </w:t>
      </w:r>
      <w:r>
        <w:rPr/>
        <w:t xml:space="preserve">And upon her </w:t>
      </w:r>
      <w:r>
        <w:rPr>
          <w:b w:val="1"/>
          <w:bCs w:val="1"/>
        </w:rPr>
        <w:t xml:space="preserve">forehead</w:t>
      </w:r>
      <w:r>
        <w:rPr/>
        <w:t xml:space="preserve"> </w:t>
      </w:r>
      <w:r>
        <w:rPr>
          <w:rStyle w:val="FootnoteReference"/>
        </w:rPr>
        <w:footnoteReference w:id="619"/>
      </w:r>
      <w:r>
        <w:rPr/>
        <w:t xml:space="preserve"> was a name written, a </w:t>
      </w:r>
      <w:r>
        <w:rPr>
          <w:b w:val="1"/>
          <w:bCs w:val="1"/>
        </w:rPr>
        <w:t xml:space="preserve">mystery</w:t>
      </w:r>
      <w:r>
        <w:rPr/>
        <w:t xml:space="preserve"> </w:t>
      </w:r>
      <w:r>
        <w:rPr>
          <w:rStyle w:val="FootnoteReference"/>
        </w:rPr>
        <w:footnoteReference w:id="620"/>
      </w:r>
      <w:r>
        <w:rPr/>
        <w:t xml:space="preserve">, </w:t>
      </w:r>
      <w:r>
        <w:rPr>
          <w:b w:val="1"/>
          <w:bCs w:val="1"/>
        </w:rPr>
        <w:t xml:space="preserve">Babylon The Great, The Mother Of Harlots And Abominations Of The Earth</w:t>
      </w:r>
      <w:r>
        <w:rPr/>
        <w:t xml:space="preserve"> </w:t>
      </w:r>
      <w:r>
        <w:rPr>
          <w:rStyle w:val="FootnoteReference"/>
        </w:rPr>
        <w:footnoteReference w:id="621"/>
      </w:r>
      <w:r>
        <w:rPr/>
        <w:t xml:space="preserve">.</w:t>
      </w:r>
    </w:p>
    <w:p>
      <w:pPr>
        <w:jc w:val="left"/>
        <w:ind w:left="360" w:right="0" w:firstLine="0" w:hanging="0"/>
        <w:spacing w:after="60"/>
      </w:pPr>
      <w:r>
        <w:rPr>
          <w:sz w:val="18"/>
          <w:szCs w:val="18"/>
          <w:i w:val="1"/>
          <w:iCs w:val="1"/>
        </w:rPr>
        <w:t xml:space="preserve">[fn] On Mystery Babylon, a name is written on her forehead; the name she has is distinct from the mark or the beast, and the beast itself. She is distinct from the beast by her name.</w:t>
      </w:r>
    </w:p>
    <w:p>
      <w:pPr>
        <w:pStyle w:val="BodyVerse"/>
      </w:pPr>
      <w:r>
        <w:rPr>
          <w:b w:val="1"/>
          <w:bCs w:val="1"/>
        </w:rPr>
        <w:t xml:space="preserve">[[@Bible:Re 17:6]] </w:t>
      </w:r>
      <w:r>
        <w:rPr>
          <w:sz w:val="22"/>
          <w:szCs w:val="22"/>
          <w:b w:val="1"/>
          <w:bCs w:val="1"/>
          <w:vertAlign w:val="superscript"/>
        </w:rPr>
        <w:t xml:space="preserve">6  </w:t>
      </w:r>
      <w:r>
        <w:rPr/>
        <w:t xml:space="preserve">And I saw the woman </w:t>
      </w:r>
      <w:r>
        <w:rPr>
          <w:b w:val="1"/>
          <w:bCs w:val="1"/>
        </w:rPr>
        <w:t xml:space="preserve">drunken with the blood of the saints, and with the blood of the martyrs of Jesus</w:t>
      </w:r>
      <w:r>
        <w:rPr/>
        <w:t xml:space="preserve"> </w:t>
      </w:r>
      <w:r>
        <w:rPr>
          <w:rStyle w:val="FootnoteReference"/>
        </w:rPr>
        <w:footnoteReference w:id="622"/>
      </w:r>
      <w:r>
        <w:rPr/>
        <w:t xml:space="preserve">: and when I saw her, I wondered with great admiration.</w:t>
      </w:r>
    </w:p>
    <w:p>
      <w:pPr>
        <w:pStyle w:val="BodyVerse"/>
      </w:pPr>
      <w:r>
        <w:rPr>
          <w:b w:val="1"/>
          <w:bCs w:val="1"/>
        </w:rPr>
        <w:t xml:space="preserve">[[@Bible:Re 17:7]] </w:t>
      </w:r>
      <w:r>
        <w:rPr>
          <w:sz w:val="22"/>
          <w:szCs w:val="22"/>
          <w:b w:val="1"/>
          <w:bCs w:val="1"/>
          <w:vertAlign w:val="superscript"/>
        </w:rPr>
        <w:t xml:space="preserve">7  </w:t>
      </w:r>
      <w:r>
        <w:rPr/>
        <w:t xml:space="preserve">And the messenger said unto me, Why did you marvel? I will tell you the </w:t>
      </w:r>
      <w:r>
        <w:rPr>
          <w:b w:val="1"/>
          <w:bCs w:val="1"/>
        </w:rPr>
        <w:t xml:space="preserve">mystery</w:t>
      </w:r>
      <w:r>
        <w:rPr/>
        <w:t xml:space="preserve"> </w:t>
      </w:r>
      <w:r>
        <w:rPr>
          <w:rStyle w:val="FootnoteReference"/>
        </w:rPr>
        <w:footnoteReference w:id="623"/>
      </w:r>
      <w:r>
        <w:rPr/>
        <w:t xml:space="preserve"> of the woman, and of the beast that carries her, which has the </w:t>
      </w:r>
      <w:r>
        <w:rPr>
          <w:b w:val="1"/>
          <w:bCs w:val="1"/>
        </w:rPr>
        <w:t xml:space="preserve">seven heads and ten horns</w:t>
      </w:r>
      <w:r>
        <w:rPr/>
        <w:t xml:space="preserve"> </w:t>
      </w:r>
      <w:r>
        <w:rPr>
          <w:rStyle w:val="FootnoteReference"/>
        </w:rPr>
        <w:footnoteReference w:id="624"/>
      </w:r>
      <w:r>
        <w:rPr/>
        <w:t xml:space="preserve"> </w:t>
      </w:r>
      <w:r>
        <w:rPr>
          <w:rStyle w:val="FootnoteReference"/>
        </w:rPr>
        <w:footnoteReference w:id="625"/>
      </w:r>
      <w:r>
        <w:rPr/>
        <w:t xml:space="preserve">.</w:t>
      </w:r>
    </w:p>
    <w:p>
      <w:pPr>
        <w:spacing w:after="150"/>
      </w:pPr>
      <w:r>
        <w:rPr/>
        <w:t xml:space="preserve"/>
      </w:r>
    </w:p>
    <w:p>
      <w:pPr>
        <w:pStyle w:val="Heading3"/>
      </w:pPr>
      <w:bookmarkStart w:id="99" w:name="_Toc99"/>
      <w:r>
        <w:t>Message of The Red Dragon's End After 1000 Years</w:t>
      </w:r>
      <w:bookmarkEnd w:id="99"/>
    </w:p>
    <w:p>
      <w:pPr>
        <w:pStyle w:val="BodyVerse"/>
      </w:pPr>
      <w:r>
        <w:rPr>
          <w:b w:val="1"/>
          <w:bCs w:val="1"/>
        </w:rPr>
        <w:t xml:space="preserve">[[@Bible:Re 17:8]] </w:t>
      </w:r>
      <w:r>
        <w:rPr>
          <w:sz w:val="22"/>
          <w:szCs w:val="22"/>
          <w:b w:val="1"/>
          <w:bCs w:val="1"/>
          <w:vertAlign w:val="superscript"/>
        </w:rPr>
        <w:t xml:space="preserve">8  </w:t>
      </w:r>
      <w:r>
        <w:rPr>
          <w:b w:val="1"/>
          <w:bCs w:val="1"/>
        </w:rPr>
        <w:t xml:space="preserve">The beast</w:t>
      </w:r>
      <w:r>
        <w:rPr/>
        <w:t xml:space="preserve"> </w:t>
      </w:r>
      <w:r>
        <w:rPr>
          <w:color w:val="4A6FA5"/>
          <w:sz w:val="18"/>
          <w:szCs w:val="18"/>
        </w:rPr>
        <w:t xml:space="preserve"> (d</w:t>
      </w:r>
      <w:r>
        <w:rPr>
          <w:rStyle w:val="FootnoteReference"/>
        </w:rPr>
        <w:footnoteReference w:id="626"/>
      </w:r>
      <w:r>
        <w:rPr>
          <w:color w:val="4A6FA5"/>
          <w:sz w:val="18"/>
          <w:szCs w:val="18"/>
        </w:rPr>
        <w:t xml:space="preserve">) </w:t>
      </w:r>
      <w:r>
        <w:rPr/>
        <w:t xml:space="preserve"> that you saw was, and is not; and shall ascend out of the </w:t>
      </w:r>
      <w:r>
        <w:rPr>
          <w:b w:val="1"/>
          <w:bCs w:val="1"/>
        </w:rPr>
        <w:t xml:space="preserve">bottomless pit</w:t>
      </w:r>
      <w:r>
        <w:rPr/>
        <w:t xml:space="preserve"> </w:t>
      </w:r>
      <w:r>
        <w:rPr>
          <w:rStyle w:val="FootnoteReference"/>
        </w:rPr>
        <w:footnoteReference w:id="627"/>
      </w:r>
      <w:r>
        <w:rPr/>
        <w:t xml:space="preserve"> </w:t>
      </w:r>
      <w:r>
        <w:rPr>
          <w:rStyle w:val="FootnoteReference"/>
        </w:rPr>
        <w:footnoteReference w:id="628"/>
      </w:r>
      <w:r>
        <w:rPr/>
        <w:t xml:space="preserve">, and go into </w:t>
      </w:r>
      <w:r>
        <w:rPr>
          <w:b w:val="1"/>
          <w:bCs w:val="1"/>
        </w:rPr>
        <w:t xml:space="preserve">perdition</w:t>
      </w:r>
      <w:r>
        <w:rPr/>
        <w:t xml:space="preserve"> </w:t>
      </w:r>
      <w:r>
        <w:rPr>
          <w:rStyle w:val="FootnoteReference"/>
        </w:rPr>
        <w:footnoteReference w:id="629"/>
      </w:r>
      <w:r>
        <w:rPr/>
        <w:t xml:space="preserve">: and they who dwell on the earth shall wonder, whose names were not written in the </w:t>
      </w:r>
      <w:r>
        <w:rPr>
          <w:b w:val="1"/>
          <w:bCs w:val="1"/>
        </w:rPr>
        <w:t xml:space="preserve">book of life</w:t>
      </w:r>
      <w:r>
        <w:rPr/>
        <w:t xml:space="preserve"> </w:t>
      </w:r>
      <w:r>
        <w:rPr>
          <w:rStyle w:val="FootnoteReference"/>
        </w:rPr>
        <w:footnoteReference w:id="630"/>
      </w:r>
      <w:r>
        <w:rPr/>
        <w:t xml:space="preserve"> from the foundation of the world, when they behold that </w:t>
      </w:r>
      <w:r>
        <w:rPr>
          <w:b w:val="1"/>
          <w:bCs w:val="1"/>
        </w:rPr>
        <w:t xml:space="preserve">was, and is not, and is to come</w:t>
      </w:r>
      <w:r>
        <w:rPr/>
        <w:t xml:space="preserve"> </w:t>
      </w:r>
      <w:r>
        <w:rPr>
          <w:rStyle w:val="FootnoteReference"/>
        </w:rPr>
        <w:footnoteReference w:id="631"/>
      </w:r>
      <w:r>
        <w:rPr/>
        <w:t xml:space="preserve">.</w:t>
      </w:r>
    </w:p>
    <w:p>
      <w:pPr>
        <w:jc w:val="left"/>
        <w:ind w:left="360" w:right="0" w:firstLine="0" w:hanging="0"/>
        <w:spacing w:after="60"/>
      </w:pPr>
      <w:r>
        <w:rPr>
          <w:sz w:val="18"/>
          <w:szCs w:val="18"/>
          <w:i w:val="1"/>
          <w:iCs w:val="1"/>
        </w:rPr>
        <w:t xml:space="preserve">[fn] Perdition appears to be the lake of fire.</w:t>
      </w:r>
    </w:p>
    <w:p>
      <w:pPr>
        <w:spacing w:after="150"/>
      </w:pPr>
      <w:r>
        <w:rPr/>
        <w:t xml:space="preserve"/>
      </w:r>
    </w:p>
    <w:p>
      <w:pPr>
        <w:pStyle w:val="Heading3"/>
      </w:pPr>
      <w:bookmarkStart w:id="100" w:name="_Toc100"/>
      <w:r>
        <w:t>Seven Heads</w:t>
      </w:r>
      <w:bookmarkEnd w:id="100"/>
    </w:p>
    <w:p>
      <w:pPr>
        <w:pStyle w:val="SectionBody"/>
      </w:pPr>
      <w:r>
        <w:rPr>
          <w:b w:val="1"/>
          <w:bCs w:val="1"/>
        </w:rPr>
        <w:t xml:space="preserve">Important Note:</w:t>
      </w:r>
      <w:r>
        <w:rPr/>
        <w:t xml:space="preserve"> The seven heads are both mountains, and there are seven kings on them. The woman appears to sit on the seven mountains. Note that the beast has a 7th head, which will be a king. If that king is the sea beast, then the scarlet coloured beast can not be the sea beast.</w:t>
      </w:r>
    </w:p>
    <w:p>
      <w:pPr>
        <w:pStyle w:val="SectionBody"/>
      </w:pPr>
      <w:r>
        <w:rPr/>
        <w:t xml:space="preserve">It is speculated who these kings are. If we do not inject the historical before the prophetic, it is safer to assume the seven kingdoms and seven kings follow prior biblical accounts, mapping to: Egypt, Assyria, Babylon, Persia, and Greece as fallen. Rome is at the time Revelation was written (~90 A.D.). The ten kings and the little horn are yet to come; when they appear, Jesus will appear.</w:t>
      </w:r>
    </w:p>
    <w:p>
      <w:pPr>
        <w:pStyle w:val="SectionBody"/>
      </w:pPr>
      <w:r>
        <w:rPr/>
        <w:t xml:space="preserve">We know these seven heads are not all Rome, but the ten kings might be in a future sense, because Scripture already gives us the interpretive pattern in Daniel, Zechariah, and Ezekiel. Revelation is building on that prophetic framework. We must prioritize the Old Testament context first, allowing its symbols and trajectories to guide our understanding before importing later historical explanations. In other words, we should exhaust what Revelation itself has already drawn from the OT prophets before reaching for external context. Only after that should Rome even enter the discussion, not as a starting point, and never as something that overrides the prophetic foundation already laid in the text.</w:t>
      </w:r>
    </w:p>
    <w:p>
      <w:pPr>
        <w:spacing w:after="150"/>
      </w:pPr>
      <w:r>
        <w:rPr/>
        <w:t xml:space="preserve"/>
      </w:r>
    </w:p>
    <w:p>
      <w:pPr>
        <w:pStyle w:val="BodyVerse"/>
      </w:pPr>
      <w:r>
        <w:rPr>
          <w:b w:val="1"/>
          <w:bCs w:val="1"/>
        </w:rPr>
        <w:t xml:space="preserve">[[@Bible:Re 17:9]] </w:t>
      </w:r>
      <w:r>
        <w:rPr>
          <w:sz w:val="22"/>
          <w:szCs w:val="22"/>
          <w:b w:val="1"/>
          <w:bCs w:val="1"/>
          <w:vertAlign w:val="superscript"/>
        </w:rPr>
        <w:t xml:space="preserve">9  </w:t>
      </w:r>
      <w:r>
        <w:rPr/>
        <w:t xml:space="preserve">And here is the mind which has wisdom. </w:t>
      </w:r>
      <w:r>
        <w:rPr>
          <w:b w:val="1"/>
          <w:bCs w:val="1"/>
        </w:rPr>
        <w:t xml:space="preserve">The seven heads are seven mountains</w:t>
      </w:r>
      <w:r>
        <w:rPr/>
        <w:t xml:space="preserve"> </w:t>
      </w:r>
      <w:r>
        <w:rPr>
          <w:rStyle w:val="FootnoteReference"/>
        </w:rPr>
        <w:footnoteReference w:id="632"/>
      </w:r>
      <w:r>
        <w:rPr/>
        <w:t xml:space="preserve">, on which the woman sits,</w:t>
      </w:r>
    </w:p>
    <w:p>
      <w:pPr>
        <w:pStyle w:val="BodyVerse"/>
      </w:pPr>
      <w:r>
        <w:rPr>
          <w:b w:val="1"/>
          <w:bCs w:val="1"/>
        </w:rPr>
        <w:t xml:space="preserve">[[@Bible:Re 17:10]] </w:t>
      </w:r>
      <w:r>
        <w:rPr>
          <w:sz w:val="22"/>
          <w:szCs w:val="22"/>
          <w:b w:val="1"/>
          <w:bCs w:val="1"/>
          <w:vertAlign w:val="superscript"/>
        </w:rPr>
        <w:t xml:space="preserve">10  </w:t>
      </w:r>
      <w:r>
        <w:rPr/>
        <w:t xml:space="preserve">and are </w:t>
      </w:r>
      <w:r>
        <w:rPr>
          <w:b w:val="1"/>
          <w:bCs w:val="1"/>
        </w:rPr>
        <w:t xml:space="preserve">seven kings</w:t>
      </w:r>
      <w:r>
        <w:rPr/>
        <w:t xml:space="preserve"> </w:t>
      </w:r>
      <w:r>
        <w:rPr>
          <w:rStyle w:val="FootnoteReference"/>
        </w:rPr>
        <w:footnoteReference w:id="633"/>
      </w:r>
      <w:r>
        <w:rPr/>
        <w:t xml:space="preserve"> </w:t>
      </w:r>
      <w:r>
        <w:rPr>
          <w:rStyle w:val="FootnoteReference"/>
        </w:rPr>
        <w:footnoteReference w:id="634"/>
      </w:r>
      <w:r>
        <w:rPr/>
        <w:t xml:space="preserve">: five are fallen, and one is, and the other is not yet come; and when he comes, he must </w:t>
      </w:r>
      <w:r>
        <w:rPr>
          <w:b w:val="1"/>
          <w:bCs w:val="1"/>
        </w:rPr>
        <w:t xml:space="preserve">continue a little</w:t>
      </w:r>
      <w:r>
        <w:rPr/>
        <w:t xml:space="preserve">. </w:t>
      </w:r>
      <w:r>
        <w:rPr>
          <w:color w:val="4A6FA5"/>
          <w:sz w:val="18"/>
          <w:szCs w:val="18"/>
        </w:rPr>
        <w:t xml:space="preserve"> (dl</w:t>
      </w:r>
      <w:r>
        <w:rPr>
          <w:rStyle w:val="FootnoteReference"/>
        </w:rPr>
        <w:footnoteReference w:id="635"/>
      </w:r>
      <w:r>
        <w:rPr>
          <w:color w:val="4A6FA5"/>
          <w:sz w:val="18"/>
          <w:szCs w:val="18"/>
        </w:rPr>
        <w:t xml:space="preserve">) </w:t>
      </w:r>
    </w:p>
    <w:p>
      <w:pPr>
        <w:spacing w:after="150"/>
      </w:pPr>
      <w:r>
        <w:rPr/>
        <w:t xml:space="preserve"/>
      </w:r>
    </w:p>
    <w:p>
      <w:pPr>
        <w:pStyle w:val="Heading3"/>
      </w:pPr>
      <w:bookmarkStart w:id="101" w:name="_Toc101"/>
      <w:r>
        <w:t>Satan the Eighth Head: Final Rebellion After 1000 Years</w:t>
      </w:r>
      <w:bookmarkEnd w:id="101"/>
    </w:p>
    <w:p>
      <w:pPr>
        <w:pStyle w:val="SectionBody"/>
      </w:pPr>
      <w:r>
        <w:rPr/>
        <w:t xml:space="preserve">If the sea beast were to be the eighth as well, this would not be possible, for he cannot return from the lake of fire. The dragon, however, does return from the bottomless pit, and is thus eligible to be the eighth, whereas the sea beast is very likely not.</w:t>
      </w:r>
    </w:p>
    <w:p>
      <w:pPr>
        <w:spacing w:after="150"/>
      </w:pPr>
      <w:r>
        <w:rPr/>
        <w:t xml:space="preserve"/>
      </w:r>
    </w:p>
    <w:p>
      <w:pPr>
        <w:pStyle w:val="BodyVerse"/>
      </w:pPr>
      <w:r>
        <w:rPr>
          <w:b w:val="1"/>
          <w:bCs w:val="1"/>
        </w:rPr>
        <w:t xml:space="preserve">[[@Bible:Re 17:11]] </w:t>
      </w:r>
      <w:r>
        <w:rPr>
          <w:sz w:val="22"/>
          <w:szCs w:val="22"/>
          <w:b w:val="1"/>
          <w:bCs w:val="1"/>
          <w:vertAlign w:val="superscript"/>
        </w:rPr>
        <w:t xml:space="preserve">11  </w:t>
      </w:r>
      <w:r>
        <w:rPr/>
        <w:t xml:space="preserve">And the beast that </w:t>
      </w:r>
      <w:r>
        <w:rPr>
          <w:b w:val="1"/>
          <w:bCs w:val="1"/>
        </w:rPr>
        <w:t xml:space="preserve">was, and is not</w:t>
      </w:r>
      <w:r>
        <w:rPr/>
        <w:t xml:space="preserve"> </w:t>
      </w:r>
      <w:r>
        <w:rPr>
          <w:rStyle w:val="FootnoteReference"/>
        </w:rPr>
        <w:footnoteReference w:id="636"/>
      </w:r>
      <w:r>
        <w:rPr/>
        <w:t xml:space="preserve">, even he is the eighth, and is of the seven, and goes into </w:t>
      </w:r>
      <w:r>
        <w:rPr>
          <w:b w:val="1"/>
          <w:bCs w:val="1"/>
        </w:rPr>
        <w:t xml:space="preserve">perdition</w:t>
      </w:r>
      <w:r>
        <w:rPr/>
        <w:t xml:space="preserve"> </w:t>
      </w:r>
      <w:r>
        <w:rPr>
          <w:rStyle w:val="FootnoteReference"/>
        </w:rPr>
        <w:footnoteReference w:id="637"/>
      </w:r>
      <w:r>
        <w:rPr/>
        <w:t xml:space="preserve">.</w:t>
      </w:r>
    </w:p>
    <w:p>
      <w:pPr>
        <w:spacing w:after="150"/>
      </w:pPr>
      <w:r>
        <w:rPr/>
        <w:t xml:space="preserve"/>
      </w:r>
    </w:p>
    <w:p>
      <w:pPr>
        <w:pStyle w:val="Heading3"/>
      </w:pPr>
      <w:bookmarkStart w:id="102" w:name="_Toc102"/>
      <w:r>
        <w:t>One Hour of Ten Kings</w:t>
      </w:r>
      <w:bookmarkEnd w:id="102"/>
    </w:p>
    <w:p>
      <w:pPr>
        <w:pStyle w:val="SectionBody"/>
      </w:pPr>
      <w:r>
        <w:rPr>
          <w:b w:val="1"/>
          <w:bCs w:val="1"/>
        </w:rPr>
        <w:t xml:space="preserve">Important Note:</w:t>
      </w:r>
      <w:r>
        <w:rPr/>
        <w:t xml:space="preserve"> This "one hour" is not coming across as an idiom, but it is not totally clear. Revelation is already full of language that allows it to present abstract time frames, such as "continue a little" (17:10); here we see "one hour," as we do many others: 5 months, 1260 days, and so on. So the pattern of Revelation is to make it fairly clear when specific time frames are described, we are to take them literally. It is vague when it means to be like the "time, time, and a half time".</w:t>
      </w:r>
    </w:p>
    <w:p>
      <w:pPr>
        <w:pStyle w:val="SectionBody"/>
      </w:pPr>
      <w:r>
        <w:rPr/>
        <w:t xml:space="preserve">However, with the whore, the time of "one hour" seems to toggle between one day and one hour. So it is not totally clear what "one hour" might mean when it comes to the whore, or if that vagueness spreads over to the other one hour. It would be safest to call one hour, one hour, and that one hour fits in one day, which is what the toggle of the phrase "one hour" and "one day" is pointing to.</w:t>
      </w:r>
    </w:p>
    <w:p>
      <w:pPr>
        <w:spacing w:after="150"/>
      </w:pPr>
      <w:r>
        <w:rPr/>
        <w:t xml:space="preserve"/>
      </w:r>
    </w:p>
    <w:p>
      <w:pPr>
        <w:pStyle w:val="BodyVerse"/>
      </w:pPr>
      <w:r>
        <w:rPr>
          <w:b w:val="1"/>
          <w:bCs w:val="1"/>
        </w:rPr>
        <w:t xml:space="preserve">[[@Bible:Re 17:12]] </w:t>
      </w:r>
      <w:r>
        <w:rPr>
          <w:sz w:val="22"/>
          <w:szCs w:val="22"/>
          <w:b w:val="1"/>
          <w:bCs w:val="1"/>
          <w:vertAlign w:val="superscript"/>
        </w:rPr>
        <w:t xml:space="preserve">12  </w:t>
      </w:r>
      <w:r>
        <w:rPr/>
        <w:t xml:space="preserve">And the </w:t>
      </w:r>
      <w:r>
        <w:rPr>
          <w:b w:val="1"/>
          <w:bCs w:val="1"/>
        </w:rPr>
        <w:t xml:space="preserve">ten horns which you saw are ten kings</w:t>
      </w:r>
      <w:r>
        <w:rPr/>
        <w:t xml:space="preserve"> </w:t>
      </w:r>
      <w:r>
        <w:rPr>
          <w:rStyle w:val="FootnoteReference"/>
        </w:rPr>
        <w:footnoteReference w:id="638"/>
      </w:r>
      <w:r>
        <w:rPr/>
        <w:t xml:space="preserve">, who have received no kingdom as yet; but receive power as kings </w:t>
      </w:r>
      <w:r>
        <w:rPr>
          <w:b w:val="1"/>
          <w:bCs w:val="1"/>
        </w:rPr>
        <w:t xml:space="preserve">one hour</w:t>
      </w:r>
      <w:r>
        <w:rPr/>
        <w:t xml:space="preserve"> </w:t>
      </w:r>
      <w:r>
        <w:rPr>
          <w:rStyle w:val="FootnoteReference"/>
        </w:rPr>
        <w:footnoteReference w:id="639"/>
      </w:r>
      <w:r>
        <w:rPr/>
        <w:t xml:space="preserve"> with the beast.</w:t>
      </w:r>
    </w:p>
    <w:p>
      <w:pPr>
        <w:pStyle w:val="BodyVerse"/>
      </w:pPr>
      <w:r>
        <w:rPr>
          <w:b w:val="1"/>
          <w:bCs w:val="1"/>
        </w:rPr>
        <w:t xml:space="preserve">[[@Bible:Re 17:13]] </w:t>
      </w:r>
      <w:r>
        <w:rPr>
          <w:sz w:val="22"/>
          <w:szCs w:val="22"/>
          <w:b w:val="1"/>
          <w:bCs w:val="1"/>
          <w:vertAlign w:val="superscript"/>
        </w:rPr>
        <w:t xml:space="preserve">13  </w:t>
      </w:r>
      <w:r>
        <w:rPr/>
        <w:t xml:space="preserve">These have </w:t>
      </w:r>
      <w:r>
        <w:rPr>
          <w:b w:val="1"/>
          <w:bCs w:val="1"/>
        </w:rPr>
        <w:t xml:space="preserve">one mind, and shall give their might and power unto the beast</w:t>
      </w:r>
      <w:r>
        <w:rPr>
          <w:rStyle w:val="FootnoteReference"/>
        </w:rPr>
        <w:footnoteReference w:id="640"/>
      </w:r>
      <w:r>
        <w:rPr/>
        <w:t xml:space="preserve">.</w:t>
      </w:r>
    </w:p>
    <w:p>
      <w:pPr>
        <w:jc w:val="left"/>
        <w:ind w:left="360" w:right="0" w:firstLine="0" w:hanging="0"/>
        <w:spacing w:after="60"/>
      </w:pPr>
      <w:r>
        <w:rPr>
          <w:sz w:val="18"/>
          <w:szCs w:val="18"/>
          <w:i w:val="1"/>
          <w:iCs w:val="1"/>
        </w:rPr>
        <w:t xml:space="preserve">[fn] In unity, they act together at the same moment, not separately over a long period. They have one hour and one mind. The text makes this extremely clear: they function as a single, unified entity.</w:t>
      </w:r>
    </w:p>
    <w:p>
      <w:pPr>
        <w:spacing w:after="150"/>
      </w:pPr>
      <w:r>
        <w:rPr/>
        <w:t xml:space="preserve"/>
      </w:r>
    </w:p>
    <w:p>
      <w:pPr>
        <w:pStyle w:val="Heading3"/>
      </w:pPr>
      <w:bookmarkStart w:id="103" w:name="_Toc103"/>
      <w:r>
        <w:t>Message of Ten Kings Fall</w:t>
      </w:r>
      <w:bookmarkEnd w:id="103"/>
    </w:p>
    <w:p>
      <w:pPr>
        <w:pStyle w:val="BodyVerse"/>
      </w:pPr>
      <w:r>
        <w:rPr>
          <w:b w:val="1"/>
          <w:bCs w:val="1"/>
        </w:rPr>
        <w:t xml:space="preserve">[[@Bible:Re 17:14]] </w:t>
      </w:r>
      <w:r>
        <w:rPr>
          <w:sz w:val="22"/>
          <w:szCs w:val="22"/>
          <w:b w:val="1"/>
          <w:bCs w:val="1"/>
          <w:vertAlign w:val="superscript"/>
        </w:rPr>
        <w:t xml:space="preserve">14  </w:t>
      </w:r>
      <w:r>
        <w:rPr>
          <w:b w:val="1"/>
          <w:bCs w:val="1"/>
        </w:rPr>
        <w:t xml:space="preserve">These shall make war</w:t>
      </w:r>
      <w:r>
        <w:rPr/>
        <w:t xml:space="preserve"> </w:t>
      </w:r>
      <w:r>
        <w:rPr>
          <w:rStyle w:val="FootnoteReference"/>
        </w:rPr>
        <w:footnoteReference w:id="641"/>
      </w:r>
      <w:r>
        <w:rPr/>
        <w:t xml:space="preserve"> with the Lamb, and the Lamb shall overcome them: for he is </w:t>
      </w:r>
      <w:r>
        <w:rPr>
          <w:b w:val="1"/>
          <w:bCs w:val="1"/>
        </w:rPr>
        <w:t xml:space="preserve">Lord of lords, and King of kings</w:t>
      </w:r>
      <w:r>
        <w:rPr/>
        <w:t xml:space="preserve"> </w:t>
      </w:r>
      <w:r>
        <w:rPr>
          <w:rStyle w:val="FootnoteReference"/>
        </w:rPr>
        <w:footnoteReference w:id="642"/>
      </w:r>
      <w:r>
        <w:rPr/>
        <w:t xml:space="preserve">: and they that are with him are </w:t>
      </w:r>
      <w:r>
        <w:rPr>
          <w:b w:val="1"/>
          <w:bCs w:val="1"/>
        </w:rPr>
        <w:t xml:space="preserve">called, and chosen, and faithful</w:t>
      </w:r>
      <w:r>
        <w:rPr/>
        <w:t xml:space="preserve"> </w:t>
      </w:r>
      <w:r>
        <w:rPr>
          <w:rStyle w:val="FootnoteReference"/>
        </w:rPr>
        <w:footnoteReference w:id="643"/>
      </w:r>
      <w:r>
        <w:rPr/>
        <w:t xml:space="preserve">.</w:t>
      </w:r>
    </w:p>
    <w:p>
      <w:pPr>
        <w:jc w:val="left"/>
        <w:ind w:left="360" w:right="0" w:firstLine="0" w:hanging="0"/>
        <w:spacing w:after="60"/>
      </w:pPr>
      <w:r>
        <w:rPr>
          <w:sz w:val="18"/>
          <w:szCs w:val="18"/>
          <w:i w:val="1"/>
          <w:iCs w:val="1"/>
        </w:rPr>
        <w:t xml:space="preserve">[fn] Likely at Har-Magedon with the sea beast and false prophet because of the following "Lord of lords, and King of kings" titles which are shown at the time of the battle.</w:t>
      </w:r>
    </w:p>
    <w:p>
      <w:pPr>
        <w:spacing w:after="150"/>
      </w:pPr>
      <w:r>
        <w:rPr/>
        <w:t xml:space="preserve"/>
      </w:r>
    </w:p>
    <w:p>
      <w:pPr>
        <w:pStyle w:val="Heading3"/>
      </w:pPr>
      <w:bookmarkStart w:id="104" w:name="_Toc104"/>
      <w:r>
        <w:t>The Sea of Peoples</w:t>
      </w:r>
      <w:bookmarkEnd w:id="104"/>
    </w:p>
    <w:p>
      <w:pPr>
        <w:pStyle w:val="BodyVerse"/>
      </w:pPr>
      <w:r>
        <w:rPr>
          <w:b w:val="1"/>
          <w:bCs w:val="1"/>
        </w:rPr>
        <w:t xml:space="preserve">[[@Bible:Re 17:15]] </w:t>
      </w:r>
      <w:r>
        <w:rPr>
          <w:sz w:val="22"/>
          <w:szCs w:val="22"/>
          <w:b w:val="1"/>
          <w:bCs w:val="1"/>
          <w:vertAlign w:val="superscript"/>
        </w:rPr>
        <w:t xml:space="preserve">15  </w:t>
      </w:r>
      <w:r>
        <w:rPr/>
        <w:t xml:space="preserve">And he said unto me, The waters which you saw, where the whore sits, are </w:t>
      </w:r>
      <w:r>
        <w:rPr>
          <w:b w:val="1"/>
          <w:bCs w:val="1"/>
        </w:rPr>
        <w:t xml:space="preserve">peoples, and multitudes, and nations, and tongues</w:t>
      </w:r>
      <w:r>
        <w:rPr/>
        <w:t xml:space="preserve"> </w:t>
      </w:r>
      <w:r>
        <w:rPr>
          <w:rStyle w:val="FootnoteReference"/>
        </w:rPr>
        <w:footnoteReference w:id="644"/>
      </w:r>
      <w:r>
        <w:rPr/>
        <w:t xml:space="preserve">.</w:t>
      </w:r>
    </w:p>
    <w:p>
      <w:pPr>
        <w:spacing w:after="150"/>
      </w:pPr>
      <w:r>
        <w:rPr/>
        <w:t xml:space="preserve"/>
      </w:r>
    </w:p>
    <w:p>
      <w:pPr>
        <w:pStyle w:val="Heading3"/>
      </w:pPr>
      <w:bookmarkStart w:id="105" w:name="_Toc105"/>
      <w:r>
        <w:t>Ten Kings Will Burn The Woman: Mystery Babylon</w:t>
      </w:r>
      <w:bookmarkEnd w:id="105"/>
    </w:p>
    <w:p>
      <w:pPr>
        <w:pStyle w:val="SectionBody"/>
      </w:pPr>
      <w:r>
        <w:rPr>
          <w:b w:val="1"/>
          <w:bCs w:val="1"/>
        </w:rPr>
        <w:t xml:space="preserve">Important Note:</w:t>
      </w:r>
      <w:r>
        <w:rPr/>
        <w:t xml:space="preserve"> This Babylon is destroyed by the ten kings; what is likely Jerusalem as Babylon is destroyed by God with the 7th vial. The destruction and total removal of Mystery Babylon is not described in any way like the winepress in Revelation 16:19.</w:t>
      </w:r>
    </w:p>
    <w:p>
      <w:pPr>
        <w:spacing w:after="150"/>
      </w:pPr>
      <w:r>
        <w:rPr/>
        <w:t xml:space="preserve"/>
      </w:r>
    </w:p>
    <w:p>
      <w:pPr>
        <w:pStyle w:val="BodyVerse"/>
      </w:pPr>
      <w:r>
        <w:rPr>
          <w:b w:val="1"/>
          <w:bCs w:val="1"/>
        </w:rPr>
        <w:t xml:space="preserve">[[@Bible:Re 17:16]] </w:t>
      </w:r>
      <w:r>
        <w:rPr>
          <w:sz w:val="22"/>
          <w:szCs w:val="22"/>
          <w:b w:val="1"/>
          <w:bCs w:val="1"/>
          <w:vertAlign w:val="superscript"/>
        </w:rPr>
        <w:t xml:space="preserve">16  </w:t>
      </w:r>
      <w:r>
        <w:rPr/>
        <w:t xml:space="preserve">And the ten horns which you saw, they and the beast shall hate the whore, and shall make her desolate and naked, and shall eat her flesh, and </w:t>
      </w:r>
      <w:r>
        <w:rPr>
          <w:b w:val="1"/>
          <w:bCs w:val="1"/>
        </w:rPr>
        <w:t xml:space="preserve">burn her with fire</w:t>
      </w:r>
      <w:r>
        <w:rPr/>
        <w:t xml:space="preserve"> </w:t>
      </w:r>
      <w:r>
        <w:rPr>
          <w:rStyle w:val="FootnoteReference"/>
        </w:rPr>
        <w:footnoteReference w:id="645"/>
      </w:r>
      <w:r>
        <w:rPr/>
        <w:t xml:space="preserve"> </w:t>
      </w:r>
      <w:r>
        <w:rPr>
          <w:rStyle w:val="FootnoteReference"/>
        </w:rPr>
        <w:footnoteReference w:id="646"/>
      </w:r>
      <w:r>
        <w:rPr/>
        <w:t xml:space="preserve">.</w:t>
      </w:r>
    </w:p>
    <w:p>
      <w:pPr>
        <w:pStyle w:val="BodyVerse"/>
      </w:pPr>
      <w:r>
        <w:rPr>
          <w:b w:val="1"/>
          <w:bCs w:val="1"/>
        </w:rPr>
        <w:t xml:space="preserve">[[@Bible:Re 17:17]] </w:t>
      </w:r>
      <w:r>
        <w:rPr>
          <w:sz w:val="22"/>
          <w:szCs w:val="22"/>
          <w:b w:val="1"/>
          <w:bCs w:val="1"/>
          <w:vertAlign w:val="superscript"/>
        </w:rPr>
        <w:t xml:space="preserve">17  </w:t>
      </w:r>
      <w:r>
        <w:rPr/>
        <w:t xml:space="preserve">For God has put in their hearts to fulfill </w:t>
      </w:r>
      <w:r>
        <w:rPr>
          <w:b w:val="1"/>
          <w:bCs w:val="1"/>
        </w:rPr>
        <w:t xml:space="preserve">his will</w:t>
      </w:r>
      <w:r>
        <w:rPr/>
        <w:t xml:space="preserve"> </w:t>
      </w:r>
      <w:r>
        <w:rPr>
          <w:rStyle w:val="FootnoteReference"/>
        </w:rPr>
        <w:footnoteReference w:id="647"/>
      </w:r>
      <w:r>
        <w:rPr/>
        <w:t xml:space="preserve">, and </w:t>
      </w:r>
      <w:r>
        <w:rPr>
          <w:b w:val="1"/>
          <w:bCs w:val="1"/>
        </w:rPr>
        <w:t xml:space="preserve">to agree, and give their kingdom unto the beast</w:t>
      </w:r>
      <w:r>
        <w:rPr/>
        <w:t xml:space="preserve"> </w:t>
      </w:r>
      <w:r>
        <w:rPr>
          <w:rStyle w:val="FootnoteReference"/>
        </w:rPr>
        <w:footnoteReference w:id="648"/>
      </w:r>
      <w:r>
        <w:rPr/>
        <w:t xml:space="preserve">, until the words of God shall be fulfilled.</w:t>
      </w:r>
    </w:p>
    <w:p>
      <w:pPr>
        <w:pStyle w:val="BodyVerse"/>
      </w:pPr>
      <w:r>
        <w:rPr>
          <w:b w:val="1"/>
          <w:bCs w:val="1"/>
        </w:rPr>
        <w:t xml:space="preserve">[[@Bible:Re 17:18]] </w:t>
      </w:r>
      <w:r>
        <w:rPr>
          <w:sz w:val="22"/>
          <w:szCs w:val="22"/>
          <w:b w:val="1"/>
          <w:bCs w:val="1"/>
          <w:vertAlign w:val="superscript"/>
        </w:rPr>
        <w:t xml:space="preserve">18  </w:t>
      </w:r>
      <w:r>
        <w:rPr/>
        <w:t xml:space="preserve">And the woman whom you saw is that </w:t>
      </w:r>
      <w:r>
        <w:rPr>
          <w:b w:val="1"/>
          <w:bCs w:val="1"/>
        </w:rPr>
        <w:t xml:space="preserve">great city</w:t>
      </w:r>
      <w:r>
        <w:rPr/>
        <w:t xml:space="preserve"> </w:t>
      </w:r>
      <w:r>
        <w:rPr>
          <w:rStyle w:val="FootnoteReference"/>
        </w:rPr>
        <w:footnoteReference w:id="649"/>
      </w:r>
      <w:r>
        <w:rPr/>
        <w:t xml:space="preserve"> </w:t>
      </w:r>
      <w:r>
        <w:rPr>
          <w:rStyle w:val="FootnoteReference"/>
        </w:rPr>
        <w:footnoteReference w:id="650"/>
      </w:r>
      <w:r>
        <w:rPr/>
        <w:t xml:space="preserve"> , which reigns over the kings of the earth.</w:t>
      </w:r>
    </w:p>
    <w:p>
      <w:pPr>
        <w:jc w:val="center"/>
        <w:spacing w:before="120" w:after="60"/>
      </w:pPr>
      <w:r>
        <w:rPr>
          <w:sz w:val="36"/>
          <w:szCs w:val="36"/>
          <w:b w:val="1"/>
          <w:bCs w:val="1"/>
        </w:rPr>
        <w:t xml:space="preserve">✶</w:t>
      </w:r>
    </w:p>
    <w:p>
      <w:pPr>
        <w:pStyle w:val="Heading3"/>
      </w:pPr>
      <w:bookmarkStart w:id="106" w:name="_Toc106"/>
      <w:r>
        <w:t>Mystery Babylon: Is Fallen, Is Fallen</w:t>
      </w:r>
      <w:bookmarkEnd w:id="106"/>
    </w:p>
    <w:p>
      <w:pPr>
        <w:pStyle w:val="SectionBody"/>
      </w:pPr>
      <w:r>
        <w:rPr>
          <w:b w:val="1"/>
          <w:bCs w:val="1"/>
        </w:rPr>
        <w:t xml:space="preserve">Parenthetical Scene 6.2:</w:t>
      </w:r>
      <w:r>
        <w:rPr/>
        <w:t xml:space="preserve"> This image of this messenger descending in Revelation 18:1 may connect thematically with the events surrounding Revelation 14:1–8. If this messenger is understood to be Jesus, as can be argued from "the earth was lightened with his glory," (Ezekiel 43:2), then the scene would represent the period when Jesus is depicted as active on earth in the early part of the tribulation. After this moment, He is again seen in heaven by 19:5 for his own wedding supper.</w:t>
      </w:r>
    </w:p>
    <w:p>
      <w:pPr>
        <w:pStyle w:val="SectionBody"/>
      </w:pPr>
      <w:r>
        <w:rPr/>
        <w:t xml:space="preserve">Furthermore, the expression "another messenger" does not automatically exclude a Christophanic identification. Revelation 10 demonstrates that Christ can be described in messenger terms within the visionary framework. And in Revelation, glory is associated with God and the Lamb (Rev 5:12–13; 21:23). To attribute such radiant, earth-illuminating glory to an unnamed messenger feels out of place, especially given Revelation's deep connection to Ezekiel and, thereby, possibly Ezekiel 43:2's messenger of the Lord. Therefore, while the identification of this messenger as Jesus cannot be asserted dogmatically, the possibility that this descending figure could represent Christ is not impossible.</w:t>
      </w:r>
    </w:p>
    <w:p>
      <w:pPr>
        <w:pStyle w:val="SectionBody"/>
      </w:pPr>
      <w:r>
        <w:rPr/>
        <w:t xml:space="preserve">Yet, this does not seem likely. Here is why this messenger might not be Jesus.</w:t>
      </w:r>
    </w:p>
    <w:p>
      <w:pPr>
        <w:pStyle w:val="SectionBody"/>
      </w:pPr>
      <w:r>
        <w:rPr/>
        <w:t xml:space="preserve">Glory is not attributed exclusively to the Lamb and God in Revelation; it is not an exclusive attribute of them. Making that on its own is a weak argument. In Revelation 21:10, holy Jerusalem has the glory of God, and the kings bring their "glory" into New Jerusalem. Further, while Ezekiel 43:2 is a strong case of Jesus being the messenger's parallel for lighting the earth, there is also a messenger in Luke 2:9 who shines with the glory of God on earth: "an angel of the Lord suddenly stood near them, and the glory of the Lord shone around them" (NASB). Thus, having light and glory is not a rare attribute for a messenger. Further, this messenger in 18:1 does not light the "whole" earth; the messenger only lights the earth in general. Jesus, on the other hand, replaces the sun in New Jerusalem. A far greater light than this description.</w:t>
      </w:r>
    </w:p>
    <w:p>
      <w:pPr>
        <w:pStyle w:val="SectionBody"/>
      </w:pPr>
      <w:r>
        <w:rPr/>
        <w:t xml:space="preserve">Also, the speaker in Isaiah 21:6-9 is identified contextually as the watchman appointed by the LORD, a figure who observes and proclaims what is revealed. This establishes a broader biblical pattern in which a commissioned messenger declares divine judgment. A similar function appears here in Revelation 18:2 (cf. Rev 14:8), where a messenger announces, “is fallen, is fallen Babylon the great”. While the texts do not explicitly equate the figures, the shared role — receiving and proclaiming God’s verdict — suggests a functional parallel, in which the angel may be understood as fulfilling a watchman-like office, acting as a herald under divine authority, not as the Lord himself.</w:t>
      </w:r>
    </w:p>
    <w:p>
      <w:pPr>
        <w:pStyle w:val="SectionBody"/>
      </w:pPr>
      <w:r>
        <w:rPr/>
        <w:t xml:space="preserve">Finally, in Revelation 14:8, we appear to see this same messenger in no descriptive terms, saying "is fallen, is fallen". And Revelation 14 is a chapter in which Jesus is clearly present and described multiple times (14:1 and 14:15). Thus, if the messenger in 18:1 is the messenger in 14:8, it does not make sense for the text to portray Jesus as a nondescript messenger a few verses later in 14:8 (even if the messanger 14:8 is nondescript intensional to bring focus to the message and the the speaker).</w:t>
      </w:r>
    </w:p>
    <w:p>
      <w:pPr>
        <w:spacing w:after="150"/>
      </w:pPr>
      <w:r>
        <w:rPr/>
        <w:t xml:space="preserve"/>
      </w:r>
    </w:p>
    <w:p>
      <w:pPr>
        <w:pStyle w:val="BodyVerse"/>
      </w:pPr>
      <w:r>
        <w:rPr>
          <w:b w:val="1"/>
          <w:bCs w:val="1"/>
        </w:rPr>
        <w:t xml:space="preserve">[[@Bible:Re 18:1]] </w:t>
      </w:r>
      <w:r>
        <w:rPr>
          <w:sz w:val="22"/>
          <w:szCs w:val="22"/>
          <w:b w:val="1"/>
          <w:bCs w:val="1"/>
          <w:vertAlign w:val="superscript"/>
        </w:rPr>
        <w:t xml:space="preserve">1  </w:t>
      </w:r>
      <w:r>
        <w:rPr/>
        <w:t xml:space="preserve">And after these things I saw another </w:t>
      </w:r>
      <w:r>
        <w:rPr>
          <w:b w:val="1"/>
          <w:bCs w:val="1"/>
        </w:rPr>
        <w:t xml:space="preserve">messenger</w:t>
      </w:r>
      <w:r>
        <w:rPr/>
        <w:t xml:space="preserve"> </w:t>
      </w:r>
      <w:r>
        <w:rPr>
          <w:color w:val="4A6FA5"/>
          <w:sz w:val="18"/>
          <w:szCs w:val="18"/>
        </w:rPr>
        <w:t xml:space="preserve"> (j</w:t>
      </w:r>
      <w:r>
        <w:rPr>
          <w:rStyle w:val="FootnoteReference"/>
        </w:rPr>
        <w:footnoteReference w:id="651"/>
      </w:r>
      <w:r>
        <w:rPr>
          <w:color w:val="4A6FA5"/>
          <w:sz w:val="18"/>
          <w:szCs w:val="18"/>
        </w:rPr>
        <w:t xml:space="preserve">) </w:t>
      </w:r>
      <w:r>
        <w:rPr/>
        <w:t xml:space="preserve"> come down from heaven, having great power; and </w:t>
      </w:r>
      <w:r>
        <w:rPr>
          <w:b w:val="1"/>
          <w:bCs w:val="1"/>
        </w:rPr>
        <w:t xml:space="preserve">the earth was lightened with his glory</w:t>
      </w:r>
      <w:r>
        <w:rPr/>
        <w:t xml:space="preserve">. </w:t>
      </w:r>
      <w:r>
        <w:rPr>
          <w:rStyle w:val="FootnoteReference"/>
        </w:rPr>
        <w:footnoteReference w:id="652"/>
      </w:r>
    </w:p>
    <w:p>
      <w:pPr>
        <w:jc w:val="left"/>
        <w:ind w:left="360" w:right="0" w:firstLine="0" w:hanging="0"/>
        <w:spacing w:after="60"/>
      </w:pPr>
      <w:r>
        <w:rPr>
          <w:sz w:val="18"/>
          <w:szCs w:val="18"/>
          <w:i w:val="1"/>
          <w:iCs w:val="1"/>
        </w:rPr>
        <w:t xml:space="preserve">[fn] αλλον — another (of the same kind).</w:t>
      </w:r>
    </w:p>
    <w:p>
      <w:pPr>
        <w:pStyle w:val="BodyVerse"/>
      </w:pPr>
      <w:r>
        <w:rPr>
          <w:b w:val="1"/>
          <w:bCs w:val="1"/>
        </w:rPr>
        <w:t xml:space="preserve">[[@Bible:Re 18:2]] </w:t>
      </w:r>
      <w:r>
        <w:rPr>
          <w:sz w:val="22"/>
          <w:szCs w:val="22"/>
          <w:b w:val="1"/>
          <w:bCs w:val="1"/>
          <w:vertAlign w:val="superscript"/>
        </w:rPr>
        <w:t xml:space="preserve">2  </w:t>
      </w:r>
      <w:r>
        <w:rPr/>
        <w:t xml:space="preserve">And he cried with a strong voice,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653"/>
      </w:r>
      <w:r>
        <w:rPr>
          <w:color w:val="4A6FA5"/>
          <w:sz w:val="18"/>
          <w:szCs w:val="18"/>
        </w:rPr>
        <w:t xml:space="preserve">) </w:t>
      </w:r>
      <w:r>
        <w:rPr/>
        <w:t xml:space="preserve"> </w:t>
      </w:r>
      <w:r>
        <w:rPr>
          <w:rStyle w:val="FootnoteReference"/>
        </w:rPr>
        <w:footnoteReference w:id="654"/>
      </w:r>
      <w:r>
        <w:rPr/>
        <w:t xml:space="preserve"> </w:t>
      </w:r>
      <w:r>
        <w:rPr>
          <w:rStyle w:val="FootnoteReference"/>
        </w:rPr>
        <w:footnoteReference w:id="655"/>
      </w:r>
      <w:r>
        <w:rPr/>
        <w:t xml:space="preserve">, and is become the habitation of devils, and the hold of every unclean spirit, and a cage of every unclean and hateful bird.</w:t>
      </w:r>
    </w:p>
    <w:p>
      <w:pPr>
        <w:pStyle w:val="BodyVerse"/>
      </w:pPr>
      <w:r>
        <w:rPr>
          <w:b w:val="1"/>
          <w:bCs w:val="1"/>
        </w:rPr>
        <w:t xml:space="preserve">[[@Bible:Re 18:3]] </w:t>
      </w:r>
      <w:r>
        <w:rPr>
          <w:sz w:val="22"/>
          <w:szCs w:val="22"/>
          <w:b w:val="1"/>
          <w:bCs w:val="1"/>
          <w:vertAlign w:val="superscript"/>
        </w:rPr>
        <w:t xml:space="preserve">3  </w:t>
      </w:r>
      <w:r>
        <w:rPr/>
        <w:t xml:space="preserve">For all nations have </w:t>
      </w:r>
      <w:r>
        <w:rPr>
          <w:b w:val="1"/>
          <w:bCs w:val="1"/>
        </w:rPr>
        <w:t xml:space="preserve">drunk of the wine of the wrath of her fornication</w:t>
      </w:r>
      <w:r>
        <w:rPr/>
        <w:t xml:space="preserve"> </w:t>
      </w:r>
      <w:r>
        <w:rPr>
          <w:rStyle w:val="FootnoteReference"/>
        </w:rPr>
        <w:footnoteReference w:id="656"/>
      </w:r>
      <w:r>
        <w:rPr/>
        <w:t xml:space="preserve">, and the kings of the earth have committed fornication with her, and the merchants of the earth are waxed rich through the abundance of her delicacies.</w:t>
      </w:r>
    </w:p>
    <w:p>
      <w:pPr>
        <w:spacing w:after="150"/>
      </w:pPr>
      <w:r>
        <w:rPr/>
        <w:t xml:space="preserve"/>
      </w:r>
    </w:p>
    <w:p>
      <w:pPr>
        <w:pStyle w:val="Heading3"/>
      </w:pPr>
      <w:bookmarkStart w:id="107" w:name="_Toc107"/>
      <w:r>
        <w:t>Come Out of Her, My People</w:t>
      </w:r>
      <w:bookmarkEnd w:id="107"/>
    </w:p>
    <w:p>
      <w:pPr>
        <w:pStyle w:val="SectionBody"/>
      </w:pPr>
      <w:r>
        <w:rPr>
          <w:b w:val="1"/>
          <w:bCs w:val="1"/>
        </w:rPr>
        <w:t xml:space="preserve">Important Note:</w:t>
      </w:r>
      <w:r>
        <w:rPr/>
        <w:t xml:space="preserve"> Greek grammar suggests this voice should belong to someone other than the angel we just saw who lightens the earth. Now, we might be tempted to say this is the Father. But in verse 5, the voice says "…God hath remembered her iniquities." The Father is not likely to refer to Himself in the third person. That alone makes a direct speech from the Father unlikely. Also, keep in mind that prophecy can break ordinary storytelling rules. It can intentionally leave out details and expect you to use prior knowledge to simply "know" who is speaking. The expectation is that we know the details well enough to identify the speaker from context.</w:t>
      </w:r>
    </w:p>
    <w:p>
      <w:pPr>
        <w:spacing w:after="150"/>
      </w:pPr>
      <w:r>
        <w:rPr/>
        <w:t xml:space="preserve"/>
      </w:r>
    </w:p>
    <w:p>
      <w:pPr>
        <w:pStyle w:val="BodyVerse"/>
      </w:pPr>
      <w:r>
        <w:rPr>
          <w:b w:val="1"/>
          <w:bCs w:val="1"/>
        </w:rPr>
        <w:t xml:space="preserve">[[@Bible:Re 18:4]] </w:t>
      </w:r>
      <w:r>
        <w:rPr>
          <w:sz w:val="22"/>
          <w:szCs w:val="22"/>
          <w:b w:val="1"/>
          <w:bCs w:val="1"/>
          <w:vertAlign w:val="superscript"/>
        </w:rPr>
        <w:t xml:space="preserve">4  </w:t>
      </w:r>
      <w:r>
        <w:rPr/>
        <w:t xml:space="preserve">And I heard another </w:t>
      </w:r>
      <w:r>
        <w:rPr>
          <w:b w:val="1"/>
          <w:bCs w:val="1"/>
        </w:rPr>
        <w:t xml:space="preserve">voice from heaven</w:t>
      </w:r>
      <w:r>
        <w:rPr/>
        <w:t xml:space="preserve"> </w:t>
      </w:r>
      <w:r>
        <w:rPr>
          <w:rStyle w:val="FootnoteReference"/>
        </w:rPr>
        <w:footnoteReference w:id="657"/>
      </w:r>
      <w:r>
        <w:rPr/>
        <w:t xml:space="preserve">, saying, </w:t>
      </w:r>
      <w:r>
        <w:rPr>
          <w:b w:val="1"/>
          <w:bCs w:val="1"/>
        </w:rPr>
        <w:t xml:space="preserve">Come out of her, my people</w:t>
      </w:r>
      <w:r>
        <w:rPr/>
        <w:t xml:space="preserve"> </w:t>
      </w:r>
      <w:r>
        <w:rPr>
          <w:color w:val="4A6FA5"/>
          <w:sz w:val="18"/>
          <w:szCs w:val="18"/>
        </w:rPr>
        <w:t xml:space="preserve"> (r</w:t>
      </w:r>
      <w:r>
        <w:rPr>
          <w:rStyle w:val="FootnoteReference"/>
        </w:rPr>
        <w:footnoteReference w:id="658"/>
      </w:r>
      <w:r>
        <w:rPr>
          <w:color w:val="4A6FA5"/>
          <w:sz w:val="18"/>
          <w:szCs w:val="18"/>
        </w:rPr>
        <w:t xml:space="preserve">) </w:t>
      </w:r>
      <w:r>
        <w:rPr/>
        <w:t xml:space="preserve"> </w:t>
      </w:r>
      <w:r>
        <w:rPr>
          <w:rStyle w:val="FootnoteReference"/>
        </w:rPr>
        <w:footnoteReference w:id="659"/>
      </w:r>
      <w:r>
        <w:rPr/>
        <w:t xml:space="preserve">, that you all be not partakers of her sins, and that you all receive not of her plagues.</w:t>
      </w:r>
    </w:p>
    <w:p>
      <w:pPr>
        <w:jc w:val="left"/>
        <w:ind w:left="360" w:right="0" w:firstLine="0" w:hanging="0"/>
        <w:spacing w:after="60"/>
      </w:pPr>
      <w:r>
        <w:rPr>
          <w:sz w:val="18"/>
          <w:szCs w:val="18"/>
          <w:i w:val="1"/>
          <w:iCs w:val="1"/>
        </w:rPr>
        <w:t xml:space="preserve">[fn] This same heavenly voice is not like the one that calls people upward into heaven, first when John is told to "Come up" (4:1).</w:t>
      </w:r>
    </w:p>
    <w:p>
      <w:pPr>
        <w:pStyle w:val="BodyVerse"/>
      </w:pPr>
      <w:r>
        <w:rPr>
          <w:b w:val="1"/>
          <w:bCs w:val="1"/>
        </w:rPr>
        <w:t xml:space="preserve">[[@Bible:Re 18:5]] </w:t>
      </w:r>
      <w:r>
        <w:rPr>
          <w:sz w:val="22"/>
          <w:szCs w:val="22"/>
          <w:b w:val="1"/>
          <w:bCs w:val="1"/>
          <w:vertAlign w:val="superscript"/>
        </w:rPr>
        <w:t xml:space="preserve">5  </w:t>
      </w:r>
      <w:r>
        <w:rPr/>
        <w:t xml:space="preserve">For her sins have reached unto heaven, and God has remembered her iniquities.</w:t>
      </w:r>
    </w:p>
    <w:p>
      <w:pPr>
        <w:jc w:val="left"/>
        <w:ind w:left="360" w:right="0" w:firstLine="0" w:hanging="0"/>
        <w:spacing w:after="60"/>
      </w:pPr>
      <w:r>
        <w:rPr>
          <w:sz w:val="18"/>
          <w:szCs w:val="18"/>
          <w:i w:val="1"/>
          <w:iCs w:val="1"/>
        </w:rPr>
        <w:t xml:space="preserve">[fn] The Father does not speak of himself in third person in the way this speaker is talking. Thus, the grammar suggests that the speaker is not the Father Himself, but one who speaks on His behalf with covenantal authority, most coherently understood as the risen Christ, who both claims the people and announces the Father’s judicial action.</w:t>
      </w:r>
    </w:p>
    <w:p>
      <w:pPr>
        <w:pStyle w:val="BodyVerse"/>
      </w:pPr>
      <w:r>
        <w:rPr>
          <w:b w:val="1"/>
          <w:bCs w:val="1"/>
        </w:rPr>
        <w:t xml:space="preserve">[[@Bible:Re 18:6]] </w:t>
      </w:r>
      <w:r>
        <w:rPr>
          <w:sz w:val="22"/>
          <w:szCs w:val="22"/>
          <w:b w:val="1"/>
          <w:bCs w:val="1"/>
          <w:vertAlign w:val="superscript"/>
        </w:rPr>
        <w:t xml:space="preserve">6  </w:t>
      </w:r>
      <w:r>
        <w:rPr/>
        <w:t xml:space="preserve">Reward her even as she rewarded</w:t>
      </w:r>
      <w:r>
        <w:rPr/>
        <w:t xml:space="preserve">, and double unto her double according to her </w:t>
      </w:r>
      <w:r>
        <w:rPr>
          <w:b w:val="1"/>
          <w:bCs w:val="1"/>
        </w:rPr>
        <w:t xml:space="preserve">works</w:t>
      </w:r>
      <w:r>
        <w:rPr/>
        <w:t xml:space="preserve"> </w:t>
      </w:r>
      <w:r>
        <w:rPr>
          <w:rStyle w:val="FootnoteReference"/>
        </w:rPr>
        <w:footnoteReference w:id="660"/>
      </w:r>
      <w:r>
        <w:rPr/>
        <w:t xml:space="preserve">: in the cup which she has filled fill to her double. </w:t>
      </w:r>
      <w:r>
        <w:rPr>
          <w:rStyle w:val="FootnoteReference"/>
        </w:rPr>
        <w:footnoteReference w:id="661"/>
      </w:r>
    </w:p>
    <w:p>
      <w:pPr>
        <w:jc w:val="left"/>
        <w:ind w:left="360" w:right="0" w:firstLine="0" w:hanging="0"/>
        <w:spacing w:after="60"/>
      </w:pPr>
      <w:r>
        <w:rPr>
          <w:sz w:val="18"/>
          <w:szCs w:val="18"/>
          <w:i w:val="1"/>
          <w:iCs w:val="1"/>
        </w:rPr>
        <w:t xml:space="preserve">[fn] "Reward her" in the Critical Text is is not stated that "you" (σύ) the saints are to be the ones rewarding her as the TR/KJV does.</w:t>
      </w:r>
    </w:p>
    <w:p>
      <w:pPr>
        <w:jc w:val="left"/>
        <w:ind w:left="360" w:right="0" w:firstLine="0" w:hanging="0"/>
        <w:spacing w:after="60"/>
      </w:pPr>
      <w:r>
        <w:rPr>
          <w:sz w:val="18"/>
          <w:szCs w:val="18"/>
          <w:i w:val="1"/>
          <w:iCs w:val="1"/>
        </w:rPr>
        <w:t xml:space="preserve">[fn] The motif of “double” recompense reflects the principle of full and just repayment rooted in the Law (Exod 22:4, 7) and developed in the Prophets (Jer 16:18; 17:18), culminating in the judgment of Babylon where she receives “double” according to her works (Rev 18:6), a pattern that can also reverse into restoration for God’s people (Isa 40:2; 61:7).</w:t>
      </w:r>
    </w:p>
    <w:p>
      <w:pPr>
        <w:pStyle w:val="BodyVerse"/>
      </w:pPr>
      <w:r>
        <w:rPr>
          <w:b w:val="1"/>
          <w:bCs w:val="1"/>
        </w:rPr>
        <w:t xml:space="preserve">[[@Bible:Re 18:7]] </w:t>
      </w:r>
      <w:r>
        <w:rPr>
          <w:sz w:val="22"/>
          <w:szCs w:val="22"/>
          <w:b w:val="1"/>
          <w:bCs w:val="1"/>
          <w:vertAlign w:val="superscript"/>
        </w:rPr>
        <w:t xml:space="preserve">7  </w:t>
      </w:r>
      <w:r>
        <w:rPr/>
        <w:t xml:space="preserve">How much she has glorified herself, and lived deliciously, so much torment and sorrow give her: for she says in her heart, </w:t>
      </w:r>
      <w:r>
        <w:rPr>
          <w:b w:val="1"/>
          <w:bCs w:val="1"/>
        </w:rPr>
        <w:t xml:space="preserve">I sit a queen</w:t>
      </w:r>
      <w:r>
        <w:rPr/>
        <w:t xml:space="preserve"> </w:t>
      </w:r>
      <w:r>
        <w:rPr>
          <w:rStyle w:val="FootnoteReference"/>
        </w:rPr>
        <w:footnoteReference w:id="662"/>
      </w:r>
      <w:r>
        <w:rPr/>
        <w:t xml:space="preserve">, and am no widow, and shall see no sorrow.</w:t>
      </w:r>
    </w:p>
    <w:p>
      <w:pPr>
        <w:pStyle w:val="BodyVerse"/>
      </w:pPr>
      <w:r>
        <w:rPr>
          <w:b w:val="1"/>
          <w:bCs w:val="1"/>
        </w:rPr>
        <w:t xml:space="preserve">[[@Bible:Re 18:8]] </w:t>
      </w:r>
      <w:r>
        <w:rPr>
          <w:sz w:val="22"/>
          <w:szCs w:val="22"/>
          <w:b w:val="1"/>
          <w:bCs w:val="1"/>
          <w:vertAlign w:val="superscript"/>
        </w:rPr>
        <w:t xml:space="preserve">8  </w:t>
      </w:r>
      <w:r>
        <w:rPr/>
        <w:t xml:space="preserve">Therefore shall her plagues come in one day, death, and mourning, and famine; and she shall be utterly </w:t>
      </w:r>
      <w:r>
        <w:rPr>
          <w:b w:val="1"/>
          <w:bCs w:val="1"/>
        </w:rPr>
        <w:t xml:space="preserve">burned with fire</w:t>
      </w:r>
      <w:r>
        <w:rPr/>
        <w:t xml:space="preserve"> </w:t>
      </w:r>
      <w:r>
        <w:rPr>
          <w:rStyle w:val="FootnoteReference"/>
        </w:rPr>
        <w:footnoteReference w:id="663"/>
      </w:r>
      <w:r>
        <w:rPr/>
        <w:t xml:space="preserve">: for strong is the </w:t>
      </w:r>
      <w:r>
        <w:rPr>
          <w:b w:val="1"/>
          <w:bCs w:val="1"/>
        </w:rPr>
        <w:t xml:space="preserve">Lord God who judges her</w:t>
      </w:r>
      <w:r>
        <w:rPr/>
        <w:t xml:space="preserve"> </w:t>
      </w:r>
      <w:r>
        <w:rPr>
          <w:rStyle w:val="FootnoteReference"/>
        </w:rPr>
        <w:footnoteReference w:id="664"/>
      </w:r>
      <w:r>
        <w:rPr/>
        <w:t xml:space="preserve">.</w:t>
      </w:r>
    </w:p>
    <w:p>
      <w:pPr>
        <w:jc w:val="left"/>
        <w:ind w:left="360" w:right="0" w:firstLine="0" w:hanging="0"/>
        <w:spacing w:after="60"/>
      </w:pPr>
      <w:r>
        <w:rPr>
          <w:sz w:val="18"/>
          <w:szCs w:val="18"/>
          <w:i w:val="1"/>
          <w:iCs w:val="1"/>
        </w:rPr>
        <w:t xml:space="preserve">[fn] God judges her through the ten kings.</w:t>
      </w:r>
    </w:p>
    <w:p>
      <w:pPr>
        <w:spacing w:after="150"/>
      </w:pPr>
      <w:r>
        <w:rPr/>
        <w:t xml:space="preserve"/>
      </w:r>
    </w:p>
    <w:p>
      <w:pPr>
        <w:pStyle w:val="Heading3"/>
      </w:pPr>
      <w:bookmarkStart w:id="108" w:name="_Toc108"/>
      <w:r>
        <w:t>Kings Lament Her Destruction: Destroyed in One Hour</w:t>
      </w:r>
      <w:bookmarkEnd w:id="108"/>
    </w:p>
    <w:p>
      <w:pPr>
        <w:pStyle w:val="BodyVerse"/>
      </w:pPr>
      <w:r>
        <w:rPr>
          <w:b w:val="1"/>
          <w:bCs w:val="1"/>
        </w:rPr>
        <w:t xml:space="preserve">[[@Bible:Re 18:9]] </w:t>
      </w:r>
      <w:r>
        <w:rPr>
          <w:sz w:val="22"/>
          <w:szCs w:val="22"/>
          <w:b w:val="1"/>
          <w:bCs w:val="1"/>
          <w:vertAlign w:val="superscript"/>
        </w:rPr>
        <w:t xml:space="preserve">9  </w:t>
      </w:r>
      <w:r>
        <w:rPr/>
        <w:t xml:space="preserve">And the kings of the earth, who have committed fornication and lived deliciously with her, shall bewail her, and lament for her, when they shall see the </w:t>
      </w:r>
      <w:r>
        <w:rPr>
          <w:b w:val="1"/>
          <w:bCs w:val="1"/>
        </w:rPr>
        <w:t xml:space="preserve">smoke of her burning</w:t>
      </w:r>
      <w:r>
        <w:rPr/>
        <w:t xml:space="preserve"> </w:t>
      </w:r>
      <w:r>
        <w:rPr>
          <w:rStyle w:val="FootnoteReference"/>
        </w:rPr>
        <w:footnoteReference w:id="665"/>
      </w:r>
      <w:r>
        <w:rPr/>
        <w:t xml:space="preserve">,</w:t>
      </w:r>
    </w:p>
    <w:p>
      <w:pPr>
        <w:pStyle w:val="BodyVerse"/>
      </w:pPr>
      <w:r>
        <w:rPr>
          <w:b w:val="1"/>
          <w:bCs w:val="1"/>
        </w:rPr>
        <w:t xml:space="preserve">[[@Bible:Re 18:10]] </w:t>
      </w:r>
      <w:r>
        <w:rPr>
          <w:sz w:val="22"/>
          <w:szCs w:val="22"/>
          <w:b w:val="1"/>
          <w:bCs w:val="1"/>
          <w:vertAlign w:val="superscript"/>
        </w:rPr>
        <w:t xml:space="preserve">10  </w:t>
      </w:r>
      <w:r>
        <w:rPr/>
        <w:t xml:space="preserve">Standing afar off for the fear of her torment, saying, Alas, alas that </w:t>
      </w:r>
      <w:r>
        <w:rPr>
          <w:b w:val="1"/>
          <w:bCs w:val="1"/>
        </w:rPr>
        <w:t xml:space="preserve">great city Babylon</w:t>
      </w:r>
      <w:r>
        <w:rPr/>
        <w:t xml:space="preserve"> </w:t>
      </w:r>
      <w:r>
        <w:rPr>
          <w:rStyle w:val="FootnoteReference"/>
        </w:rPr>
        <w:footnoteReference w:id="666"/>
      </w:r>
      <w:r>
        <w:rPr/>
        <w:t xml:space="preserve"> </w:t>
      </w:r>
      <w:r>
        <w:rPr>
          <w:rStyle w:val="FootnoteReference"/>
        </w:rPr>
        <w:footnoteReference w:id="667"/>
      </w:r>
      <w:r>
        <w:rPr/>
        <w:t xml:space="preserve"> , that strong city! for in </w:t>
      </w:r>
      <w:r>
        <w:rPr>
          <w:b w:val="1"/>
          <w:bCs w:val="1"/>
        </w:rPr>
        <w:t xml:space="preserve">one hour</w:t>
      </w:r>
      <w:r>
        <w:rPr/>
        <w:t xml:space="preserve"> </w:t>
      </w:r>
      <w:r>
        <w:rPr>
          <w:rStyle w:val="FootnoteReference"/>
        </w:rPr>
        <w:footnoteReference w:id="668"/>
      </w:r>
      <w:r>
        <w:rPr/>
        <w:t xml:space="preserve"> is thy judgment come.</w:t>
      </w:r>
    </w:p>
    <w:p>
      <w:pPr>
        <w:spacing w:after="150"/>
      </w:pPr>
      <w:r>
        <w:rPr/>
        <w:t xml:space="preserve"/>
      </w:r>
    </w:p>
    <w:p>
      <w:pPr>
        <w:pStyle w:val="Heading3"/>
      </w:pPr>
      <w:bookmarkStart w:id="109" w:name="_Toc109"/>
      <w:r>
        <w:t>Merchants Lament Her Destruction</w:t>
      </w:r>
      <w:bookmarkEnd w:id="109"/>
    </w:p>
    <w:p>
      <w:pPr>
        <w:pStyle w:val="SectionBody"/>
      </w:pPr>
      <w:r>
        <w:rPr>
          <w:b w:val="1"/>
          <w:bCs w:val="1"/>
        </w:rPr>
        <w:t xml:space="preserve">Important Note:</w:t>
      </w:r>
      <w:r>
        <w:rPr/>
        <w:t xml:space="preserve"> In Revelation 16, when Jerusalem is split into three parts, it also says "the cities of the nations fell." So this Babylon cannot be the same because the kings bewail and merchants weep for her fall, so this implies their cities are still standing. Who will lament her if all have fallen?</w:t>
      </w:r>
    </w:p>
    <w:p>
      <w:pPr>
        <w:spacing w:after="150"/>
      </w:pPr>
      <w:r>
        <w:rPr/>
        <w:t xml:space="preserve"/>
      </w:r>
    </w:p>
    <w:p>
      <w:pPr>
        <w:pStyle w:val="BodyVerse"/>
      </w:pPr>
      <w:r>
        <w:rPr>
          <w:b w:val="1"/>
          <w:bCs w:val="1"/>
        </w:rPr>
        <w:t xml:space="preserve">[[@Bible:Re 18:11]] </w:t>
      </w:r>
      <w:r>
        <w:rPr>
          <w:sz w:val="22"/>
          <w:szCs w:val="22"/>
          <w:b w:val="1"/>
          <w:bCs w:val="1"/>
          <w:vertAlign w:val="superscript"/>
        </w:rPr>
        <w:t xml:space="preserve">11  </w:t>
      </w:r>
      <w:r>
        <w:rPr/>
        <w:t xml:space="preserve">And the merchants of the earth shall weep and mourn over her; for none buys their merchandise any more:</w:t>
      </w:r>
    </w:p>
    <w:p>
      <w:pPr>
        <w:pStyle w:val="BodyVerse"/>
      </w:pPr>
      <w:r>
        <w:rPr>
          <w:b w:val="1"/>
          <w:bCs w:val="1"/>
        </w:rPr>
        <w:t xml:space="preserve">[[@Bible:Re 18:12]] </w:t>
      </w:r>
      <w:r>
        <w:rPr>
          <w:sz w:val="22"/>
          <w:szCs w:val="22"/>
          <w:b w:val="1"/>
          <w:bCs w:val="1"/>
          <w:vertAlign w:val="superscript"/>
        </w:rPr>
        <w:t xml:space="preserve">12  </w:t>
      </w:r>
      <w:r>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2"/>
          <w:szCs w:val="22"/>
          <w:b w:val="1"/>
          <w:bCs w:val="1"/>
          <w:vertAlign w:val="superscript"/>
        </w:rPr>
        <w:t xml:space="preserve">13  </w:t>
      </w:r>
      <w:r>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2"/>
          <w:szCs w:val="22"/>
          <w:b w:val="1"/>
          <w:bCs w:val="1"/>
          <w:vertAlign w:val="superscript"/>
        </w:rPr>
        <w:t xml:space="preserve">14  </w:t>
      </w:r>
      <w:r>
        <w:rPr/>
        <w:t xml:space="preserve">And the fruits that thy soul lusted after are departed from you, and all things which were dainty and goodly are departed from you, and you will </w:t>
      </w:r>
      <w:r>
        <w:rPr>
          <w:b w:val="1"/>
          <w:bCs w:val="1"/>
        </w:rPr>
        <w:t xml:space="preserve">find them no more at all</w:t>
      </w:r>
      <w:r>
        <w:rPr/>
        <w:t xml:space="preserve"> </w:t>
      </w:r>
      <w:r>
        <w:rPr>
          <w:rStyle w:val="FootnoteReference"/>
        </w:rPr>
        <w:footnoteReference w:id="669"/>
      </w:r>
      <w:r>
        <w:rPr/>
        <w:t xml:space="preserve">. </w:t>
      </w:r>
      <w:r>
        <w:rPr>
          <w:rStyle w:val="FootnoteReference"/>
        </w:rPr>
        <w:footnoteReference w:id="670"/>
      </w:r>
    </w:p>
    <w:p>
      <w:pPr>
        <w:pStyle w:val="BodyVerse"/>
      </w:pPr>
      <w:r>
        <w:rPr>
          <w:b w:val="1"/>
          <w:bCs w:val="1"/>
        </w:rPr>
        <w:t xml:space="preserve">[[@Bible:Re 18:15]] </w:t>
      </w:r>
      <w:r>
        <w:rPr>
          <w:sz w:val="22"/>
          <w:szCs w:val="22"/>
          <w:b w:val="1"/>
          <w:bCs w:val="1"/>
          <w:vertAlign w:val="superscript"/>
        </w:rPr>
        <w:t xml:space="preserve">15  </w:t>
      </w:r>
      <w:r>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2"/>
          <w:szCs w:val="22"/>
          <w:b w:val="1"/>
          <w:bCs w:val="1"/>
          <w:vertAlign w:val="superscript"/>
        </w:rPr>
        <w:t xml:space="preserve">16  </w:t>
      </w:r>
      <w:r>
        <w:rPr/>
        <w:t xml:space="preserve">And saying, Alas, alas that </w:t>
      </w:r>
      <w:r>
        <w:rPr>
          <w:b w:val="1"/>
          <w:bCs w:val="1"/>
        </w:rPr>
        <w:t xml:space="preserve">great city</w:t>
      </w:r>
      <w:r>
        <w:rPr/>
        <w:t xml:space="preserve"> </w:t>
      </w:r>
      <w:r>
        <w:rPr>
          <w:rStyle w:val="FootnoteReference"/>
        </w:rPr>
        <w:footnoteReference w:id="671"/>
      </w:r>
      <w:r>
        <w:rPr/>
        <w:t xml:space="preserve"> </w:t>
      </w:r>
      <w:r>
        <w:rPr>
          <w:rStyle w:val="FootnoteReference"/>
        </w:rPr>
        <w:footnoteReference w:id="672"/>
      </w:r>
      <w:r>
        <w:rPr/>
        <w:t xml:space="preserve">, that was clothed in fine linen, and purple, and scarlet, and decked with gold, and precious stones, and pearls!</w:t>
      </w:r>
    </w:p>
    <w:p>
      <w:pPr>
        <w:pStyle w:val="BodyVerse"/>
      </w:pPr>
      <w:r>
        <w:rPr>
          <w:b w:val="1"/>
          <w:bCs w:val="1"/>
        </w:rPr>
        <w:t xml:space="preserve">[[@Bible:Re 18:17]] </w:t>
      </w:r>
      <w:r>
        <w:rPr>
          <w:sz w:val="22"/>
          <w:szCs w:val="22"/>
          <w:b w:val="1"/>
          <w:bCs w:val="1"/>
          <w:vertAlign w:val="superscript"/>
        </w:rPr>
        <w:t xml:space="preserve">17  </w:t>
      </w:r>
      <w:r>
        <w:rPr/>
        <w:t xml:space="preserve">For in </w:t>
      </w:r>
      <w:r>
        <w:rPr>
          <w:b w:val="1"/>
          <w:bCs w:val="1"/>
        </w:rPr>
        <w:t xml:space="preserve">one hour</w:t>
      </w:r>
      <w:r>
        <w:rPr/>
        <w:t xml:space="preserve"> </w:t>
      </w:r>
      <w:r>
        <w:rPr>
          <w:rStyle w:val="FootnoteReference"/>
        </w:rPr>
        <w:footnoteReference w:id="673"/>
      </w:r>
      <w:r>
        <w:rPr/>
        <w:t xml:space="preserve"> such vast riches have come to naught. And every shipmaster, and all the company in ships, and sailors, and as many as trade by sea, stood afar off,</w:t>
      </w:r>
    </w:p>
    <w:p>
      <w:pPr>
        <w:jc w:val="left"/>
        <w:ind w:left="360" w:right="0" w:firstLine="0" w:hanging="0"/>
        <w:spacing w:after="60"/>
      </w:pPr>
      <w:r>
        <w:rPr>
          <w:sz w:val="18"/>
          <w:szCs w:val="18"/>
          <w:i w:val="1"/>
          <w:iCs w:val="1"/>
        </w:rPr>
        <w:t xml:space="preserve">[fn] The expression “such vast riches” renders the Greek ὁ τοσοῦτος πλοῦτος (NA28). The adjective τοσοῦτος (tosoutos) denotes quantity or extent—“so much,” “of such magnitude”—rather than merely describing quality. Thus, the phrase emphasizes the immense scope of the riches rather than simply calling them “great.” A more strictly literal sense would be “so much riches” or “riches of such extent,” highlighting the overwhelming abundance that is suddenly brought to ruin “in one hour.”</w:t>
      </w:r>
    </w:p>
    <w:p>
      <w:pPr>
        <w:pStyle w:val="BodyVerse"/>
      </w:pPr>
      <w:r>
        <w:rPr>
          <w:b w:val="1"/>
          <w:bCs w:val="1"/>
        </w:rPr>
        <w:t xml:space="preserve">[[@Bible:Re 18:18]] </w:t>
      </w:r>
      <w:r>
        <w:rPr>
          <w:sz w:val="22"/>
          <w:szCs w:val="22"/>
          <w:b w:val="1"/>
          <w:bCs w:val="1"/>
          <w:vertAlign w:val="superscript"/>
        </w:rPr>
        <w:t xml:space="preserve">18  </w:t>
      </w:r>
      <w:r>
        <w:rPr/>
        <w:t xml:space="preserve">And cried when they saw the </w:t>
      </w:r>
      <w:r>
        <w:rPr>
          <w:b w:val="1"/>
          <w:bCs w:val="1"/>
        </w:rPr>
        <w:t xml:space="preserve">smoke of her burning</w:t>
      </w:r>
      <w:r>
        <w:rPr/>
        <w:t xml:space="preserve"> </w:t>
      </w:r>
      <w:r>
        <w:rPr>
          <w:rStyle w:val="FootnoteReference"/>
        </w:rPr>
        <w:footnoteReference w:id="674"/>
      </w:r>
      <w:r>
        <w:rPr/>
        <w:t xml:space="preserve">, saying, What city is like unto this </w:t>
      </w:r>
      <w:r>
        <w:rPr>
          <w:b w:val="1"/>
          <w:bCs w:val="1"/>
        </w:rPr>
        <w:t xml:space="preserve">great city</w:t>
      </w:r>
      <w:r>
        <w:rPr/>
        <w:t xml:space="preserve"> </w:t>
      </w:r>
      <w:r>
        <w:rPr>
          <w:rStyle w:val="FootnoteReference"/>
        </w:rPr>
        <w:footnoteReference w:id="675"/>
      </w:r>
      <w:r>
        <w:rPr/>
        <w:t xml:space="preserve"> </w:t>
      </w:r>
      <w:r>
        <w:rPr>
          <w:rStyle w:val="FootnoteReference"/>
        </w:rPr>
        <w:footnoteReference w:id="676"/>
      </w:r>
      <w:r>
        <w:rPr/>
        <w:t xml:space="preserve"> </w:t>
      </w:r>
      <w:r>
        <w:rPr>
          <w:rStyle w:val="FootnoteReference"/>
        </w:rPr>
        <w:footnoteReference w:id="677"/>
      </w:r>
      <w:r>
        <w:rPr/>
        <w:t xml:space="preserve">!</w:t>
      </w:r>
    </w:p>
    <w:p>
      <w:pPr>
        <w:pStyle w:val="BodyVerse"/>
      </w:pPr>
      <w:r>
        <w:rPr>
          <w:b w:val="1"/>
          <w:bCs w:val="1"/>
        </w:rPr>
        <w:t xml:space="preserve">[[@Bible:Re 18:19]] </w:t>
      </w:r>
      <w:r>
        <w:rPr>
          <w:sz w:val="22"/>
          <w:szCs w:val="22"/>
          <w:b w:val="1"/>
          <w:bCs w:val="1"/>
          <w:vertAlign w:val="superscript"/>
        </w:rPr>
        <w:t xml:space="preserve">19  </w:t>
      </w:r>
      <w:r>
        <w:rPr/>
        <w:t xml:space="preserve">And they cast dust on their heads, and cried, weeping and wailing, saying, Alas, alas </w:t>
      </w:r>
      <w:r>
        <w:rPr>
          <w:b w:val="1"/>
          <w:bCs w:val="1"/>
        </w:rPr>
        <w:t xml:space="preserve">that great city</w:t>
      </w:r>
      <w:r>
        <w:rPr/>
        <w:t xml:space="preserve"> </w:t>
      </w:r>
      <w:r>
        <w:rPr>
          <w:rStyle w:val="FootnoteReference"/>
        </w:rPr>
        <w:footnoteReference w:id="678"/>
      </w:r>
      <w:r>
        <w:rPr/>
        <w:t xml:space="preserve"> </w:t>
      </w:r>
      <w:r>
        <w:rPr>
          <w:rStyle w:val="FootnoteReference"/>
        </w:rPr>
        <w:footnoteReference w:id="679"/>
      </w:r>
      <w:r>
        <w:rPr/>
        <w:t xml:space="preserve">, in which were made rich all who had ships in the sea by reason of her costliness! for in </w:t>
      </w:r>
      <w:r>
        <w:rPr>
          <w:b w:val="1"/>
          <w:bCs w:val="1"/>
        </w:rPr>
        <w:t xml:space="preserve">one hour</w:t>
      </w:r>
      <w:r>
        <w:rPr/>
        <w:t xml:space="preserve"> </w:t>
      </w:r>
      <w:r>
        <w:rPr>
          <w:rStyle w:val="FootnoteReference"/>
        </w:rPr>
        <w:footnoteReference w:id="680"/>
      </w:r>
      <w:r>
        <w:rPr/>
        <w:t xml:space="preserve"> is she made desolate.</w:t>
      </w:r>
    </w:p>
    <w:p>
      <w:pPr>
        <w:spacing w:after="150"/>
      </w:pPr>
      <w:r>
        <w:rPr/>
        <w:t xml:space="preserve"/>
      </w:r>
    </w:p>
    <w:p>
      <w:pPr>
        <w:pStyle w:val="Heading3"/>
      </w:pPr>
      <w:bookmarkStart w:id="110" w:name="_Toc110"/>
      <w:r>
        <w:t>Rejoice, Heaven, Apostles, and Prophets</w:t>
      </w:r>
      <w:bookmarkEnd w:id="110"/>
    </w:p>
    <w:p>
      <w:pPr>
        <w:pStyle w:val="BodyVerse"/>
      </w:pPr>
      <w:r>
        <w:rPr>
          <w:b w:val="1"/>
          <w:bCs w:val="1"/>
        </w:rPr>
        <w:t xml:space="preserve">[[@Bible:Re 18:20]] </w:t>
      </w:r>
      <w:r>
        <w:rPr>
          <w:sz w:val="22"/>
          <w:szCs w:val="22"/>
          <w:b w:val="1"/>
          <w:bCs w:val="1"/>
          <w:vertAlign w:val="superscript"/>
        </w:rPr>
        <w:t xml:space="preserve">20  </w:t>
      </w:r>
      <w:r>
        <w:rPr>
          <w:b w:val="1"/>
          <w:bCs w:val="1"/>
        </w:rPr>
        <w:t xml:space="preserve">Rejoice</w:t>
      </w:r>
      <w:r>
        <w:rPr/>
        <w:t xml:space="preserve"> </w:t>
      </w:r>
      <w:r>
        <w:rPr>
          <w:rStyle w:val="FootnoteReference"/>
        </w:rPr>
        <w:footnoteReference w:id="681"/>
      </w:r>
      <w:r>
        <w:rPr/>
        <w:t xml:space="preserve"> over her, O heaven, and all you holy apostles and prophets; for </w:t>
      </w:r>
      <w:r>
        <w:rPr>
          <w:b w:val="1"/>
          <w:bCs w:val="1"/>
        </w:rPr>
        <w:t xml:space="preserve">God has avenged you on her</w:t>
      </w:r>
      <w:r>
        <w:rPr/>
        <w:t xml:space="preserve">. </w:t>
      </w:r>
      <w:r>
        <w:rPr>
          <w:rStyle w:val="FootnoteReference"/>
        </w:rPr>
        <w:footnoteReference w:id="682"/>
      </w:r>
    </w:p>
    <w:p>
      <w:pPr>
        <w:jc w:val="left"/>
        <w:ind w:left="360" w:right="0" w:firstLine="0" w:hanging="0"/>
        <w:spacing w:after="60"/>
      </w:pPr>
      <w:r>
        <w:rPr>
          <w:sz w:val="18"/>
          <w:szCs w:val="18"/>
          <w:i w:val="1"/>
          <w:iCs w:val="1"/>
        </w:rPr>
        <w:t xml:space="preserve">[fn] This text seems to be hinting at the idea that the saints are in heaven now.</w:t>
      </w:r>
    </w:p>
    <w:p>
      <w:pPr>
        <w:spacing w:after="150"/>
      </w:pPr>
      <w:r>
        <w:rPr/>
        <w:t xml:space="preserve"/>
      </w:r>
    </w:p>
    <w:p>
      <w:pPr>
        <w:pStyle w:val="Heading3"/>
      </w:pPr>
      <w:bookmarkStart w:id="111" w:name="_Toc111"/>
      <w:r>
        <w:t>Prophetic Echo: Mystery Babylon Cast into the Sea</w:t>
      </w:r>
      <w:bookmarkEnd w:id="111"/>
    </w:p>
    <w:p>
      <w:pPr>
        <w:pStyle w:val="SectionBody"/>
      </w:pPr>
      <w:r>
        <w:rPr>
          <w:b w:val="1"/>
          <w:bCs w:val="1"/>
        </w:rPr>
        <w:t xml:space="preserve">Important Note:</w:t>
      </w:r>
      <w:r>
        <w:rPr/>
        <w:t xml:space="preserve"> This is an echo, using prophetic imagery, of the fall of Mystery Babylon. We have already seen Mystery Babylon fall, and now the text foretells that same event again for emphasis. The event is sure and will happen.</w:t>
      </w:r>
    </w:p>
    <w:p>
      <w:pPr>
        <w:spacing w:after="150"/>
      </w:pPr>
      <w:r>
        <w:rPr/>
        <w:t xml:space="preserve"/>
      </w:r>
    </w:p>
    <w:p>
      <w:pPr>
        <w:pStyle w:val="BodyVerse"/>
      </w:pPr>
      <w:r>
        <w:rPr>
          <w:b w:val="1"/>
          <w:bCs w:val="1"/>
        </w:rPr>
        <w:t xml:space="preserve">[[@Bible:Re 18:21]] </w:t>
      </w:r>
      <w:r>
        <w:rPr>
          <w:sz w:val="22"/>
          <w:szCs w:val="22"/>
          <w:b w:val="1"/>
          <w:bCs w:val="1"/>
          <w:vertAlign w:val="superscript"/>
        </w:rPr>
        <w:t xml:space="preserve">21  </w:t>
      </w:r>
      <w:r>
        <w:rPr/>
        <w:t xml:space="preserve">And a </w:t>
      </w:r>
      <w:r>
        <w:rPr>
          <w:b w:val="1"/>
          <w:bCs w:val="1"/>
        </w:rPr>
        <w:t xml:space="preserve">strong messenger</w:t>
      </w:r>
      <w:r>
        <w:rPr/>
        <w:t xml:space="preserve"> </w:t>
      </w:r>
      <w:r>
        <w:rPr>
          <w:rStyle w:val="FootnoteReference"/>
        </w:rPr>
        <w:footnoteReference w:id="683"/>
      </w:r>
      <w:r>
        <w:rPr/>
        <w:t xml:space="preserve"> took up </w:t>
      </w:r>
      <w:r>
        <w:rPr>
          <w:b w:val="1"/>
          <w:bCs w:val="1"/>
        </w:rPr>
        <w:t xml:space="preserve">a stone like a great millstone, and cast it into the sea</w:t>
      </w:r>
      <w:r>
        <w:rPr/>
        <w:t xml:space="preserve"> </w:t>
      </w:r>
      <w:r>
        <w:rPr>
          <w:rStyle w:val="FootnoteReference"/>
        </w:rPr>
        <w:footnoteReference w:id="684"/>
      </w:r>
      <w:r>
        <w:rPr/>
        <w:t xml:space="preserve">, saying, So with violence shall that </w:t>
      </w:r>
      <w:r>
        <w:rPr>
          <w:b w:val="1"/>
          <w:bCs w:val="1"/>
        </w:rPr>
        <w:t xml:space="preserve">great city Babylon</w:t>
      </w:r>
      <w:r>
        <w:rPr/>
        <w:t xml:space="preserve"> </w:t>
      </w:r>
      <w:r>
        <w:rPr>
          <w:rStyle w:val="FootnoteReference"/>
        </w:rPr>
        <w:footnoteReference w:id="685"/>
      </w:r>
      <w:r>
        <w:rPr/>
        <w:t xml:space="preserve"> be thrown down, and shall be </w:t>
      </w:r>
      <w:r>
        <w:rPr>
          <w:b w:val="1"/>
          <w:bCs w:val="1"/>
        </w:rPr>
        <w:t xml:space="preserve">found no more at all</w:t>
      </w:r>
      <w:r>
        <w:rPr/>
        <w:t xml:space="preserve"> </w:t>
      </w:r>
      <w:r>
        <w:rPr>
          <w:rStyle w:val="FootnoteReference"/>
        </w:rPr>
        <w:footnoteReference w:id="686"/>
      </w:r>
      <w:r>
        <w:rPr/>
        <w:t xml:space="preserve">.</w:t>
      </w:r>
    </w:p>
    <w:p>
      <w:pPr>
        <w:jc w:val="left"/>
        <w:ind w:left="360" w:right="0" w:firstLine="0" w:hanging="0"/>
        <w:spacing w:after="60"/>
      </w:pPr>
      <w:r>
        <w:rPr>
          <w:sz w:val="18"/>
          <w:szCs w:val="18"/>
          <w:i w:val="1"/>
          <w:iCs w:val="1"/>
        </w:rPr>
        <w:t xml:space="preserve">[fn] The phrase "no more" is always used in Revelation as an absolute—"no more" curse, Satan will deceive "no more," and so forth. Each instance describes a complete and irreversible end. Therefore, when Mystery Babylon is said to be "found no more at all," it must be understood literally. This cannot refer to the "great city" in Revelation 16, because in Revelation 16:19, "the great city was divided into three parts, and the cities of the nations fell." That city is shaken but not destroyed—it remains the city to which Christ returns. Mystery Babylon, by contrast, is utterly annihilated and remembered no more.</w:t>
      </w:r>
    </w:p>
    <w:p>
      <w:pPr>
        <w:pStyle w:val="BodyVerse"/>
      </w:pPr>
      <w:r>
        <w:rPr>
          <w:b w:val="1"/>
          <w:bCs w:val="1"/>
        </w:rPr>
        <w:t xml:space="preserve">[[@Bible:Re 18:22]] </w:t>
      </w:r>
      <w:r>
        <w:rPr>
          <w:sz w:val="22"/>
          <w:szCs w:val="22"/>
          <w:b w:val="1"/>
          <w:bCs w:val="1"/>
          <w:vertAlign w:val="superscript"/>
        </w:rPr>
        <w:t xml:space="preserve">22  </w:t>
      </w:r>
      <w:r>
        <w:rPr/>
        <w:t xml:space="preserve">And the voice of harpers, and musicians, and of pipers, and trumpeters, shall be heard </w:t>
      </w:r>
      <w:r>
        <w:rPr>
          <w:b w:val="1"/>
          <w:bCs w:val="1"/>
        </w:rPr>
        <w:t xml:space="preserve">no more at all</w:t>
      </w:r>
      <w:r>
        <w:rPr/>
        <w:t xml:space="preserve"> </w:t>
      </w:r>
      <w:r>
        <w:rPr>
          <w:rStyle w:val="FootnoteReference"/>
        </w:rPr>
        <w:footnoteReference w:id="687"/>
      </w:r>
      <w:r>
        <w:rPr/>
        <w:t xml:space="preserve"> in you; and no craftsman, of whatsoever craft he be, shall be found any more in you; and the sound of a millstone shall be heard </w:t>
      </w:r>
      <w:r>
        <w:rPr>
          <w:b w:val="1"/>
          <w:bCs w:val="1"/>
        </w:rPr>
        <w:t xml:space="preserve">no more at all</w:t>
      </w:r>
      <w:r>
        <w:rPr/>
        <w:t xml:space="preserve"> </w:t>
      </w:r>
      <w:r>
        <w:rPr>
          <w:rStyle w:val="FootnoteReference"/>
        </w:rPr>
        <w:footnoteReference w:id="688"/>
      </w:r>
      <w:r>
        <w:rPr/>
        <w:t xml:space="preserve"> in you;</w:t>
      </w:r>
    </w:p>
    <w:p>
      <w:pPr>
        <w:pStyle w:val="BodyVerse"/>
      </w:pPr>
      <w:r>
        <w:rPr>
          <w:b w:val="1"/>
          <w:bCs w:val="1"/>
        </w:rPr>
        <w:t xml:space="preserve">[[@Bible:Re 18:23]] </w:t>
      </w:r>
      <w:r>
        <w:rPr>
          <w:sz w:val="22"/>
          <w:szCs w:val="22"/>
          <w:b w:val="1"/>
          <w:bCs w:val="1"/>
          <w:vertAlign w:val="superscript"/>
        </w:rPr>
        <w:t xml:space="preserve">23  </w:t>
      </w:r>
      <w:r>
        <w:rPr/>
        <w:t xml:space="preserve">And the light of a lamp shall shine </w:t>
      </w:r>
      <w:r>
        <w:rPr>
          <w:b w:val="1"/>
          <w:bCs w:val="1"/>
        </w:rPr>
        <w:t xml:space="preserve">no more at all</w:t>
      </w:r>
      <w:r>
        <w:rPr/>
        <w:t xml:space="preserve"> </w:t>
      </w:r>
      <w:r>
        <w:rPr>
          <w:rStyle w:val="FootnoteReference"/>
        </w:rPr>
        <w:footnoteReference w:id="689"/>
      </w:r>
      <w:r>
        <w:rPr/>
        <w:t xml:space="preserve"> in you; and the voice of the bridegroom and of the bride shall be heard </w:t>
      </w:r>
      <w:r>
        <w:rPr>
          <w:b w:val="1"/>
          <w:bCs w:val="1"/>
        </w:rPr>
        <w:t xml:space="preserve">no more at all</w:t>
      </w:r>
      <w:r>
        <w:rPr/>
        <w:t xml:space="preserve"> </w:t>
      </w:r>
      <w:r>
        <w:rPr>
          <w:rStyle w:val="FootnoteReference"/>
        </w:rPr>
        <w:footnoteReference w:id="690"/>
      </w:r>
      <w:r>
        <w:rPr/>
        <w:t xml:space="preserve"> in you: for thy merchants were the great men of the earth; for by thy sorceries were all nations deceived.</w:t>
      </w:r>
    </w:p>
    <w:p>
      <w:pPr>
        <w:pStyle w:val="BodyVerse"/>
      </w:pPr>
      <w:r>
        <w:rPr>
          <w:b w:val="1"/>
          <w:bCs w:val="1"/>
        </w:rPr>
        <w:t xml:space="preserve">[[@Bible:Re 18:24]] </w:t>
      </w:r>
      <w:r>
        <w:rPr>
          <w:sz w:val="22"/>
          <w:szCs w:val="22"/>
          <w:b w:val="1"/>
          <w:bCs w:val="1"/>
          <w:vertAlign w:val="superscript"/>
        </w:rPr>
        <w:t xml:space="preserve">24  </w:t>
      </w:r>
      <w:r>
        <w:rPr/>
        <w:t xml:space="preserve">And </w:t>
      </w:r>
      <w:r>
        <w:rPr>
          <w:b w:val="1"/>
          <w:bCs w:val="1"/>
        </w:rPr>
        <w:t xml:space="preserve">in her was found the blood of prophets, and of saints, and of all who were slain upon the earth</w:t>
      </w:r>
      <w:r>
        <w:rPr/>
        <w:t xml:space="preserve"> </w:t>
      </w:r>
      <w:r>
        <w:rPr>
          <w:rStyle w:val="FootnoteReference"/>
        </w:rPr>
        <w:footnoteReference w:id="691"/>
      </w:r>
      <w:r>
        <w:rPr/>
        <w:t xml:space="preserve">.</w:t>
      </w:r>
    </w:p>
    <w:p>
      <w:pPr>
        <w:spacing w:after="150"/>
      </w:pPr>
      <w:r>
        <w:rPr/>
        <w:t xml:space="preserve"/>
      </w:r>
    </w:p>
    <w:p>
      <w:pPr>
        <w:pStyle w:val="Heading3"/>
      </w:pPr>
      <w:bookmarkStart w:id="112" w:name="_Toc112"/>
      <w:r>
        <w:t>Marriage of the Lamb</w:t>
      </w:r>
      <w:bookmarkEnd w:id="112"/>
    </w:p>
    <w:p>
      <w:pPr>
        <w:pStyle w:val="SectionBody"/>
      </w:pPr>
      <w:r>
        <w:rPr>
          <w:b w:val="1"/>
          <w:bCs w:val="1"/>
        </w:rPr>
        <w:t xml:space="preserve">Parenthetical Scene 6.3:</w:t>
      </w:r>
      <w:r>
        <w:rPr/>
        <w:t xml:space="preserve"> We meet the people who have come out of Mystery Babylon and get their new garments for the wedding supper of the Lamb. They are the bride of the Lamb.</w:t>
      </w:r>
    </w:p>
    <w:p>
      <w:pPr>
        <w:spacing w:after="150"/>
      </w:pPr>
      <w:r>
        <w:rPr/>
        <w:t xml:space="preserve"/>
      </w:r>
    </w:p>
    <w:p>
      <w:pPr>
        <w:pStyle w:val="BodyVerse"/>
      </w:pPr>
      <w:r>
        <w:rPr>
          <w:b w:val="1"/>
          <w:bCs w:val="1"/>
        </w:rPr>
        <w:t xml:space="preserve">[[@Bible:Re 19:1]] </w:t>
      </w:r>
      <w:r>
        <w:rPr>
          <w:sz w:val="22"/>
          <w:szCs w:val="22"/>
          <w:b w:val="1"/>
          <w:bCs w:val="1"/>
          <w:vertAlign w:val="superscript"/>
        </w:rPr>
        <w:t xml:space="preserve">1  </w:t>
      </w:r>
      <w:r>
        <w:rPr/>
        <w:t xml:space="preserve">And after these things I heard </w:t>
      </w:r>
      <w:r>
        <w:rPr>
          <w:b w:val="1"/>
          <w:bCs w:val="1"/>
        </w:rPr>
        <w:t xml:space="preserve">a great voice of a multitude of many in heaven</w:t>
      </w:r>
      <w:r>
        <w:rPr/>
        <w:t xml:space="preserve"> </w:t>
      </w:r>
      <w:r>
        <w:rPr>
          <w:rStyle w:val="FootnoteReference"/>
        </w:rPr>
        <w:footnoteReference w:id="692"/>
      </w:r>
      <w:r>
        <w:rPr/>
        <w:t xml:space="preserve">, saying, </w:t>
      </w:r>
      <w:r>
        <w:rPr>
          <w:b w:val="1"/>
          <w:bCs w:val="1"/>
        </w:rPr>
        <w:t xml:space="preserve">Alleluia</w:t>
      </w:r>
      <w:r>
        <w:rPr/>
        <w:t xml:space="preserve"> </w:t>
      </w:r>
      <w:r>
        <w:rPr>
          <w:rStyle w:val="FootnoteReference"/>
        </w:rPr>
        <w:footnoteReference w:id="693"/>
      </w:r>
      <w:r>
        <w:rPr/>
        <w:t xml:space="preserve">; </w:t>
      </w:r>
      <w:r>
        <w:rPr>
          <w:b w:val="1"/>
          <w:bCs w:val="1"/>
        </w:rPr>
        <w:t xml:space="preserve">Salvation</w:t>
      </w:r>
      <w:r>
        <w:rPr/>
        <w:t xml:space="preserve"> </w:t>
      </w:r>
      <w:r>
        <w:rPr>
          <w:color w:val="4A6FA5"/>
          <w:sz w:val="18"/>
          <w:szCs w:val="18"/>
        </w:rPr>
        <w:t xml:space="preserve"> (g</w:t>
      </w:r>
      <w:r>
        <w:rPr>
          <w:rStyle w:val="FootnoteReference"/>
        </w:rPr>
        <w:footnoteReference w:id="694"/>
      </w:r>
      <w:r>
        <w:rPr>
          <w:color w:val="4A6FA5"/>
          <w:sz w:val="18"/>
          <w:szCs w:val="18"/>
        </w:rPr>
        <w:t xml:space="preserve">) </w:t>
      </w:r>
      <w:r>
        <w:rPr/>
        <w:t xml:space="preserve">, and glory,</w:t>
      </w:r>
      <w:r>
        <w:rPr/>
        <w:t xml:space="preserve"> and might, unto</w:t>
      </w:r>
      <w:r>
        <w:rPr/>
        <w:t xml:space="preserve"> our God </w:t>
      </w:r>
      <w:r>
        <w:rPr>
          <w:rStyle w:val="FootnoteReference"/>
        </w:rPr>
        <w:footnoteReference w:id="695"/>
      </w:r>
      <w:r>
        <w:rPr/>
        <w:t xml:space="preserve">:</w:t>
      </w:r>
    </w:p>
    <w:p>
      <w:pPr>
        <w:pStyle w:val="BodyVerse"/>
      </w:pPr>
      <w:r>
        <w:rPr>
          <w:b w:val="1"/>
          <w:bCs w:val="1"/>
        </w:rPr>
        <w:t xml:space="preserve">[[@Bible:Re 19:2]] </w:t>
      </w:r>
      <w:r>
        <w:rPr>
          <w:sz w:val="22"/>
          <w:szCs w:val="22"/>
          <w:b w:val="1"/>
          <w:bCs w:val="1"/>
          <w:vertAlign w:val="superscript"/>
        </w:rPr>
        <w:t xml:space="preserve">2  </w:t>
      </w:r>
      <w:r>
        <w:rPr/>
        <w:t xml:space="preserve">For true and righteous are his judgments: for </w:t>
      </w:r>
      <w:r>
        <w:rPr>
          <w:b w:val="1"/>
          <w:bCs w:val="1"/>
        </w:rPr>
        <w:t xml:space="preserve">he has judged the great whore</w:t>
      </w:r>
      <w:r>
        <w:rPr/>
        <w:t xml:space="preserve"> </w:t>
      </w:r>
      <w:r>
        <w:rPr>
          <w:rStyle w:val="FootnoteReference"/>
        </w:rPr>
        <w:footnoteReference w:id="696"/>
      </w:r>
      <w:r>
        <w:rPr/>
        <w:t xml:space="preserve">, who did corrupt the earth with her fornication, and has avenged the blood of his servants</w:t>
      </w:r>
      <w:r>
        <w:rPr/>
        <w:t xml:space="preserve">.</w:t>
      </w:r>
    </w:p>
    <w:p>
      <w:pPr>
        <w:pStyle w:val="BodyVerse"/>
      </w:pPr>
      <w:r>
        <w:rPr>
          <w:b w:val="1"/>
          <w:bCs w:val="1"/>
        </w:rPr>
        <w:t xml:space="preserve">[[@Bible:Re 19:3]] </w:t>
      </w:r>
      <w:r>
        <w:rPr>
          <w:sz w:val="22"/>
          <w:szCs w:val="22"/>
          <w:b w:val="1"/>
          <w:bCs w:val="1"/>
          <w:vertAlign w:val="superscript"/>
        </w:rPr>
        <w:t xml:space="preserve">3  </w:t>
      </w:r>
      <w:r>
        <w:rPr/>
        <w:t xml:space="preserve">And again they said, </w:t>
      </w:r>
      <w:r>
        <w:rPr>
          <w:b w:val="1"/>
          <w:bCs w:val="1"/>
        </w:rPr>
        <w:t xml:space="preserve">Alleluia</w:t>
      </w:r>
      <w:r>
        <w:rPr/>
        <w:t xml:space="preserve"> </w:t>
      </w:r>
      <w:r>
        <w:rPr>
          <w:rStyle w:val="FootnoteReference"/>
        </w:rPr>
        <w:footnoteReference w:id="697"/>
      </w:r>
      <w:r>
        <w:rPr/>
        <w:t xml:space="preserve">. And </w:t>
      </w:r>
      <w:r>
        <w:rPr>
          <w:b w:val="1"/>
          <w:bCs w:val="1"/>
        </w:rPr>
        <w:t xml:space="preserve">her smoke ascends forever and ever</w:t>
      </w:r>
      <w:r>
        <w:rPr/>
        <w:t xml:space="preserve"> </w:t>
      </w:r>
      <w:r>
        <w:rPr>
          <w:rStyle w:val="FootnoteReference"/>
        </w:rPr>
        <w:footnoteReference w:id="698"/>
      </w:r>
      <w:r>
        <w:rPr/>
        <w:t xml:space="preserve">.</w:t>
      </w:r>
    </w:p>
    <w:p>
      <w:pPr>
        <w:pStyle w:val="BodyVerse"/>
      </w:pPr>
      <w:r>
        <w:rPr>
          <w:b w:val="1"/>
          <w:bCs w:val="1"/>
        </w:rPr>
        <w:t xml:space="preserve">[[@Bible:Re 19:4]] </w:t>
      </w:r>
      <w:r>
        <w:rPr>
          <w:sz w:val="22"/>
          <w:szCs w:val="22"/>
          <w:b w:val="1"/>
          <w:bCs w:val="1"/>
          <w:vertAlign w:val="superscript"/>
        </w:rPr>
        <w:t xml:space="preserve">4  </w:t>
      </w:r>
      <w:r>
        <w:rPr/>
        <w:t xml:space="preserve">And the four and twenty </w:t>
      </w:r>
      <w:r>
        <w:rPr>
          <w:b w:val="1"/>
          <w:bCs w:val="1"/>
        </w:rPr>
        <w:t xml:space="preserve">elders</w:t>
      </w:r>
      <w:r>
        <w:rPr/>
        <w:t xml:space="preserve"> </w:t>
      </w:r>
      <w:r>
        <w:rPr>
          <w:rStyle w:val="FootnoteReference"/>
        </w:rPr>
        <w:footnoteReference w:id="699"/>
      </w:r>
      <w:r>
        <w:rPr/>
        <w:t xml:space="preserve"> and the four </w:t>
      </w:r>
      <w:r>
        <w:rPr>
          <w:b w:val="1"/>
          <w:bCs w:val="1"/>
        </w:rPr>
        <w:t xml:space="preserve">beasts</w:t>
      </w:r>
      <w:r>
        <w:rPr/>
        <w:t xml:space="preserve"> </w:t>
      </w:r>
      <w:r>
        <w:rPr>
          <w:rStyle w:val="FootnoteReference"/>
        </w:rPr>
        <w:footnoteReference w:id="700"/>
      </w:r>
      <w:r>
        <w:rPr/>
        <w:t xml:space="preserve"> fell down and worshipped God who sat on the throne, saying, Amen; </w:t>
      </w:r>
      <w:r>
        <w:rPr>
          <w:b w:val="1"/>
          <w:bCs w:val="1"/>
        </w:rPr>
        <w:t xml:space="preserve">Alleluia</w:t>
      </w:r>
      <w:r>
        <w:rPr/>
        <w:t xml:space="preserve"> </w:t>
      </w:r>
      <w:r>
        <w:rPr>
          <w:rStyle w:val="FootnoteReference"/>
        </w:rPr>
        <w:footnoteReference w:id="701"/>
      </w:r>
      <w:r>
        <w:rPr/>
        <w:t xml:space="preserve">.</w:t>
      </w:r>
    </w:p>
    <w:p>
      <w:pPr>
        <w:pStyle w:val="BodyVerse"/>
      </w:pPr>
      <w:r>
        <w:rPr>
          <w:b w:val="1"/>
          <w:bCs w:val="1"/>
        </w:rPr>
        <w:t xml:space="preserve">[[@Bible:Re 19:5]] </w:t>
      </w:r>
      <w:r>
        <w:rPr>
          <w:sz w:val="22"/>
          <w:szCs w:val="22"/>
          <w:b w:val="1"/>
          <w:bCs w:val="1"/>
          <w:vertAlign w:val="superscript"/>
        </w:rPr>
        <w:t xml:space="preserve">5  </w:t>
      </w:r>
      <w:r>
        <w:rPr/>
        <w:t xml:space="preserve">And a </w:t>
      </w:r>
      <w:r>
        <w:rPr>
          <w:b w:val="1"/>
          <w:bCs w:val="1"/>
        </w:rPr>
        <w:t xml:space="preserve">voice came out of the throne</w:t>
      </w:r>
      <w:r>
        <w:rPr/>
        <w:t xml:space="preserve"> </w:t>
      </w:r>
      <w:r>
        <w:rPr>
          <w:rStyle w:val="FootnoteReference"/>
        </w:rPr>
        <w:footnoteReference w:id="702"/>
      </w:r>
      <w:r>
        <w:rPr/>
        <w:t xml:space="preserve">, saying, Praise our God, all you his servants, and all you who </w:t>
      </w:r>
      <w:r>
        <w:rPr>
          <w:b w:val="1"/>
          <w:bCs w:val="1"/>
        </w:rPr>
        <w:t xml:space="preserve">fear him</w:t>
      </w:r>
      <w:r>
        <w:rPr/>
        <w:t xml:space="preserve"> </w:t>
      </w:r>
      <w:r>
        <w:rPr>
          <w:rStyle w:val="FootnoteReference"/>
        </w:rPr>
        <w:footnoteReference w:id="703"/>
      </w:r>
      <w:r>
        <w:rPr/>
        <w:t xml:space="preserve">, both </w:t>
      </w:r>
      <w:r>
        <w:rPr>
          <w:b w:val="1"/>
          <w:bCs w:val="1"/>
        </w:rPr>
        <w:t xml:space="preserve">small and great</w:t>
      </w:r>
      <w:r>
        <w:rPr/>
        <w:t xml:space="preserve"> </w:t>
      </w:r>
      <w:r>
        <w:rPr>
          <w:rStyle w:val="FootnoteReference"/>
        </w:rPr>
        <w:footnoteReference w:id="704"/>
      </w:r>
      <w:r>
        <w:rPr/>
        <w:t xml:space="preserve">.</w:t>
      </w:r>
    </w:p>
    <w:p>
      <w:pPr>
        <w:spacing w:after="150"/>
      </w:pPr>
      <w:r>
        <w:rPr/>
        <w:t xml:space="preserve"/>
      </w:r>
    </w:p>
    <w:p>
      <w:pPr>
        <w:pStyle w:val="Heading3"/>
      </w:pPr>
      <w:bookmarkStart w:id="113" w:name="_Toc113"/>
      <w:r>
        <w:t>Small and Great Worship</w:t>
      </w:r>
      <w:bookmarkEnd w:id="113"/>
    </w:p>
    <w:p>
      <w:pPr>
        <w:pStyle w:val="BodyVerse"/>
      </w:pPr>
      <w:r>
        <w:rPr>
          <w:b w:val="1"/>
          <w:bCs w:val="1"/>
        </w:rPr>
        <w:t xml:space="preserve">[[@Bible:Re 19:6]] </w:t>
      </w:r>
      <w:r>
        <w:rPr>
          <w:sz w:val="22"/>
          <w:szCs w:val="22"/>
          <w:b w:val="1"/>
          <w:bCs w:val="1"/>
          <w:vertAlign w:val="superscript"/>
        </w:rPr>
        <w:t xml:space="preserve">6  </w:t>
      </w:r>
      <w:r>
        <w:rPr/>
        <w:t xml:space="preserve">And I heard as it were the voice of a </w:t>
      </w:r>
      <w:r>
        <w:rPr>
          <w:b w:val="1"/>
          <w:bCs w:val="1"/>
        </w:rPr>
        <w:t xml:space="preserve">multitude of many</w:t>
      </w:r>
      <w:r>
        <w:rPr/>
        <w:t xml:space="preserve"> </w:t>
      </w:r>
      <w:r>
        <w:rPr>
          <w:rStyle w:val="FootnoteReference"/>
        </w:rPr>
        <w:footnoteReference w:id="705"/>
      </w:r>
      <w:r>
        <w:rPr/>
        <w:t xml:space="preserve">, and as the </w:t>
      </w:r>
      <w:r>
        <w:rPr>
          <w:b w:val="1"/>
          <w:bCs w:val="1"/>
        </w:rPr>
        <w:t xml:space="preserve">voice of many waters</w:t>
      </w:r>
      <w:r>
        <w:rPr/>
        <w:t xml:space="preserve"> </w:t>
      </w:r>
      <w:r>
        <w:rPr>
          <w:rStyle w:val="FootnoteReference"/>
        </w:rPr>
        <w:footnoteReference w:id="706"/>
      </w:r>
      <w:r>
        <w:rPr/>
        <w:t xml:space="preserve">, and as the voice of </w:t>
      </w:r>
      <w:r>
        <w:rPr>
          <w:b w:val="1"/>
          <w:bCs w:val="1"/>
        </w:rPr>
        <w:t xml:space="preserve">strong thunders</w:t>
      </w:r>
      <w:r>
        <w:rPr/>
        <w:t xml:space="preserve"> </w:t>
      </w:r>
      <w:r>
        <w:rPr>
          <w:rStyle w:val="FootnoteReference"/>
        </w:rPr>
        <w:footnoteReference w:id="707"/>
      </w:r>
      <w:r>
        <w:rPr/>
        <w:t xml:space="preserve">, saying, </w:t>
      </w:r>
      <w:r>
        <w:rPr>
          <w:b w:val="1"/>
          <w:bCs w:val="1"/>
        </w:rPr>
        <w:t xml:space="preserve">Alleluia</w:t>
      </w:r>
      <w:r>
        <w:rPr/>
        <w:t xml:space="preserve"> </w:t>
      </w:r>
      <w:r>
        <w:rPr>
          <w:rStyle w:val="FootnoteReference"/>
        </w:rPr>
        <w:footnoteReference w:id="708"/>
      </w:r>
      <w:r>
        <w:rPr/>
        <w:t xml:space="preserve">: for the Lord God Almighty reigns.</w:t>
      </w:r>
    </w:p>
    <w:p>
      <w:pPr>
        <w:pStyle w:val="BodyVerse"/>
      </w:pPr>
      <w:r>
        <w:rPr>
          <w:b w:val="1"/>
          <w:bCs w:val="1"/>
        </w:rPr>
        <w:t xml:space="preserve">[[@Bible:Re 19:7]] </w:t>
      </w:r>
      <w:r>
        <w:rPr>
          <w:sz w:val="22"/>
          <w:szCs w:val="22"/>
          <w:b w:val="1"/>
          <w:bCs w:val="1"/>
          <w:vertAlign w:val="superscript"/>
        </w:rPr>
        <w:t xml:space="preserve">7  </w:t>
      </w:r>
      <w:r>
        <w:rPr/>
        <w:t xml:space="preserve">Let us</w:t>
      </w:r>
      <w:r>
        <w:rPr/>
        <w:t xml:space="preserve"> </w:t>
      </w:r>
      <w:r>
        <w:rPr>
          <w:b w:val="1"/>
          <w:bCs w:val="1"/>
        </w:rPr>
        <w:t xml:space="preserve">rejoice</w:t>
      </w:r>
      <w:r>
        <w:rPr/>
        <w:t xml:space="preserve"> </w:t>
      </w:r>
      <w:r>
        <w:rPr>
          <w:rStyle w:val="FootnoteReference"/>
        </w:rPr>
        <w:footnoteReference w:id="709"/>
      </w:r>
      <w:r>
        <w:rPr/>
        <w:t xml:space="preserve">, and give glory to him: for the marriage of the Lamb is come, and his wife has made herself ready.</w:t>
      </w:r>
    </w:p>
    <w:p>
      <w:pPr>
        <w:jc w:val="left"/>
        <w:ind w:left="360" w:right="0" w:firstLine="0" w:hanging="0"/>
        <w:spacing w:after="60"/>
      </w:pPr>
      <w:r>
        <w:rPr>
          <w:sz w:val="18"/>
          <w:szCs w:val="18"/>
          <w:i w:val="1"/>
          <w:iCs w:val="1"/>
        </w:rPr>
        <w:t xml:space="preserve">[fn] Even if the great multitude is not the church, the church is clearly present here, since she is the wife of the Lamb and would necessarily be in attendance at the wedding.</w:t>
      </w:r>
    </w:p>
    <w:p>
      <w:pPr>
        <w:pStyle w:val="BodyVerse"/>
      </w:pPr>
      <w:r>
        <w:rPr>
          <w:b w:val="1"/>
          <w:bCs w:val="1"/>
        </w:rPr>
        <w:t xml:space="preserve">[[@Bible:Re 19:8]] </w:t>
      </w:r>
      <w:r>
        <w:rPr>
          <w:sz w:val="22"/>
          <w:szCs w:val="22"/>
          <w:b w:val="1"/>
          <w:bCs w:val="1"/>
          <w:vertAlign w:val="superscript"/>
        </w:rPr>
        <w:t xml:space="preserve">8  </w:t>
      </w:r>
      <w:r>
        <w:rPr/>
        <w:t xml:space="preserve">And to her was granted that she should be arrayed in fine linen, </w:t>
      </w:r>
      <w:r>
        <w:rPr>
          <w:b w:val="1"/>
          <w:bCs w:val="1"/>
        </w:rPr>
        <w:t xml:space="preserve">bright and clean</w:t>
      </w:r>
      <w:r>
        <w:rPr/>
        <w:t xml:space="preserve"> </w:t>
      </w:r>
      <w:r>
        <w:rPr>
          <w:rStyle w:val="FootnoteReference"/>
        </w:rPr>
        <w:footnoteReference w:id="710"/>
      </w:r>
      <w:r>
        <w:rPr/>
        <w:t xml:space="preserve">: </w:t>
      </w:r>
      <w:r>
        <w:rPr>
          <w:b w:val="1"/>
          <w:bCs w:val="1"/>
        </w:rPr>
        <w:t xml:space="preserve">for the fine linen is the righteousness of saints</w:t>
      </w:r>
      <w:r>
        <w:rPr/>
        <w:t xml:space="preserve"> </w:t>
      </w:r>
      <w:r>
        <w:rPr>
          <w:rStyle w:val="FootnoteReference"/>
        </w:rPr>
        <w:footnoteReference w:id="711"/>
      </w:r>
      <w:r>
        <w:rPr/>
        <w:t xml:space="preserve">.</w:t>
      </w:r>
    </w:p>
    <w:p>
      <w:pPr>
        <w:spacing w:after="150"/>
      </w:pPr>
      <w:r>
        <w:rPr/>
        <w:t xml:space="preserve"/>
      </w:r>
    </w:p>
    <w:p>
      <w:pPr>
        <w:pStyle w:val="Heading3"/>
      </w:pPr>
      <w:bookmarkStart w:id="114" w:name="_Toc114"/>
      <w:r>
        <w:t>The Vial Angel Speaks</w:t>
      </w:r>
      <w:bookmarkEnd w:id="114"/>
    </w:p>
    <w:p>
      <w:pPr>
        <w:pStyle w:val="SectionBody"/>
      </w:pPr>
      <w:r>
        <w:rPr>
          <w:b w:val="1"/>
          <w:bCs w:val="1"/>
        </w:rPr>
        <w:t xml:space="preserve">Important Note:</w:t>
      </w:r>
      <w:r>
        <w:rPr/>
        <w:t xml:space="preserve"> After John sees the Bride and her appearance at the wedding of the Lamb, he starts to worship the angel.</w:t>
      </w:r>
    </w:p>
    <w:p>
      <w:pPr>
        <w:spacing w:after="150"/>
      </w:pPr>
      <w:r>
        <w:rPr/>
        <w:t xml:space="preserve"/>
      </w:r>
    </w:p>
    <w:p>
      <w:pPr>
        <w:pStyle w:val="BodyVerse"/>
      </w:pPr>
      <w:r>
        <w:rPr>
          <w:b w:val="1"/>
          <w:bCs w:val="1"/>
        </w:rPr>
        <w:t xml:space="preserve">[[@Bible:Re 19:9]] </w:t>
      </w:r>
      <w:r>
        <w:rPr>
          <w:sz w:val="22"/>
          <w:szCs w:val="22"/>
          <w:b w:val="1"/>
          <w:bCs w:val="1"/>
          <w:vertAlign w:val="superscript"/>
        </w:rPr>
        <w:t xml:space="preserve">9  </w:t>
      </w:r>
      <w:r>
        <w:rPr/>
        <w:t xml:space="preserve">And he said unto me, </w:t>
      </w:r>
      <w:r>
        <w:rPr>
          <w:b w:val="1"/>
          <w:bCs w:val="1"/>
        </w:rPr>
        <w:t xml:space="preserve">Write</w:t>
      </w:r>
      <w:r>
        <w:rPr/>
        <w:t xml:space="preserve"> </w:t>
      </w:r>
      <w:r>
        <w:rPr>
          <w:rStyle w:val="FootnoteReference"/>
        </w:rPr>
        <w:footnoteReference w:id="712"/>
      </w:r>
      <w:r>
        <w:rPr/>
        <w:t xml:space="preserve">, </w:t>
      </w:r>
      <w:r>
        <w:rPr>
          <w:b w:val="1"/>
          <w:bCs w:val="1"/>
        </w:rPr>
        <w:t xml:space="preserve">Blessed</w:t>
      </w:r>
      <w:r>
        <w:rPr/>
        <w:t xml:space="preserve"> </w:t>
      </w:r>
      <w:r>
        <w:rPr>
          <w:rStyle w:val="FootnoteReference"/>
        </w:rPr>
        <w:footnoteReference w:id="713"/>
      </w:r>
      <w:r>
        <w:rPr/>
        <w:t xml:space="preserve"> are they who are called unto the marriage supper of the Lamb. And he said unto me, These are the true sayings of God.</w:t>
      </w:r>
    </w:p>
    <w:p>
      <w:pPr>
        <w:jc w:val="left"/>
        <w:ind w:left="360" w:right="0" w:firstLine="0" w:hanging="0"/>
        <w:spacing w:after="60"/>
      </w:pPr>
      <w:r>
        <w:rPr>
          <w:sz w:val="18"/>
          <w:szCs w:val="18"/>
          <w:i w:val="1"/>
          <w:iCs w:val="1"/>
        </w:rPr>
        <w:t xml:space="preserve">[fn] This "her" appears to be the same messenger in 7:1.</w:t>
      </w:r>
    </w:p>
    <w:p>
      <w:pPr>
        <w:pStyle w:val="BodyVerse"/>
      </w:pPr>
      <w:r>
        <w:rPr>
          <w:b w:val="1"/>
          <w:bCs w:val="1"/>
        </w:rPr>
        <w:t xml:space="preserve">[[@Bible:Re 19:10]] </w:t>
      </w:r>
      <w:r>
        <w:rPr>
          <w:sz w:val="22"/>
          <w:szCs w:val="22"/>
          <w:b w:val="1"/>
          <w:bCs w:val="1"/>
          <w:vertAlign w:val="superscript"/>
        </w:rPr>
        <w:t xml:space="preserve">10  </w:t>
      </w:r>
      <w:r>
        <w:rPr/>
        <w:t xml:space="preserve">And I fell at his feet to </w:t>
      </w:r>
      <w:r>
        <w:rPr>
          <w:b w:val="1"/>
          <w:bCs w:val="1"/>
        </w:rPr>
        <w:t xml:space="preserve">worship him</w:t>
      </w:r>
      <w:r>
        <w:rPr/>
        <w:t xml:space="preserve"> </w:t>
      </w:r>
      <w:r>
        <w:rPr>
          <w:rStyle w:val="FootnoteReference"/>
        </w:rPr>
        <w:footnoteReference w:id="714"/>
      </w:r>
      <w:r>
        <w:rPr/>
        <w:t xml:space="preserve">. And he said unto me, See you do it not: I am thy fellowservant, and of thy </w:t>
      </w:r>
      <w:r>
        <w:rPr>
          <w:b w:val="1"/>
          <w:bCs w:val="1"/>
        </w:rPr>
        <w:t xml:space="preserve">brethren</w:t>
      </w:r>
      <w:r>
        <w:rPr/>
        <w:t xml:space="preserve"> </w:t>
      </w:r>
      <w:r>
        <w:rPr>
          <w:rStyle w:val="FootnoteReference"/>
        </w:rPr>
        <w:footnoteReference w:id="715"/>
      </w:r>
      <w:r>
        <w:rPr/>
        <w:t xml:space="preserve"> who have the </w:t>
      </w:r>
      <w:r>
        <w:rPr>
          <w:b w:val="1"/>
          <w:bCs w:val="1"/>
        </w:rPr>
        <w:t xml:space="preserve">testimony of Jesus</w:t>
      </w:r>
      <w:r>
        <w:rPr/>
        <w:t xml:space="preserve"> </w:t>
      </w:r>
      <w:r>
        <w:rPr>
          <w:rStyle w:val="FootnoteReference"/>
        </w:rPr>
        <w:footnoteReference w:id="716"/>
      </w:r>
      <w:r>
        <w:rPr/>
        <w:t xml:space="preserve">: worship God: for the testimony of Jesus is the spirit of prophecy.</w:t>
      </w:r>
    </w:p>
    <w:p>
      <w:pPr>
        <w:jc w:val="center"/>
        <w:spacing w:before="120" w:after="60"/>
      </w:pPr>
      <w:r>
        <w:rPr>
          <w:sz w:val="36"/>
          <w:szCs w:val="36"/>
          <w:b w:val="1"/>
          <w:bCs w:val="1"/>
        </w:rPr>
        <w:t xml:space="preserve">✶</w:t>
      </w:r>
    </w:p>
    <w:p>
      <w:pPr>
        <w:pStyle w:val="Heading2"/>
      </w:pPr>
      <w:bookmarkStart w:id="115" w:name="_Toc115"/>
      <w:r>
        <w:t>Married Churches First Coming: Final White Horse Makes War</w:t>
      </w:r>
      <w:bookmarkEnd w:id="115"/>
    </w:p>
    <w:p>
      <w:pPr>
        <w:pStyle w:val="SectionBody"/>
      </w:pPr>
      <w:r>
        <w:rPr>
          <w:b w:val="1"/>
          <w:bCs w:val="1"/>
        </w:rPr>
        <w:t xml:space="preserve">Linear Scene 1.6:</w:t>
      </w:r>
      <w:r>
        <w:rPr/>
        <w:t xml:space="preserve"> Picking back and smoothly merging the end of the 7-year wedding supper of the Lamb into the supper of the great God. Picking back up at the end of the vials. Thus, we transition from one supper at its completion to the next in very smooth and excellent poetic literature. It is perfect in every way. Further, this bookends the full 7-year tribulation with the final white horse Jesus rides. And, to make it even tighter and more climactic, the two other mentions of "winepress of wrath" all merge here from the end of 14 and 16. This is dense and coherent storytelling.</w:t>
      </w:r>
    </w:p>
    <w:p>
      <w:pPr>
        <w:spacing w:after="150"/>
      </w:pPr>
      <w:r>
        <w:rPr/>
        <w:t xml:space="preserve"/>
      </w:r>
    </w:p>
    <w:p>
      <w:pPr>
        <w:pStyle w:val="BodyVerse"/>
      </w:pPr>
      <w:r>
        <w:rPr>
          <w:b w:val="1"/>
          <w:bCs w:val="1"/>
        </w:rPr>
        <w:t xml:space="preserve">[[@Bible:Re 19:11]] </w:t>
      </w:r>
      <w:r>
        <w:rPr>
          <w:sz w:val="22"/>
          <w:szCs w:val="22"/>
          <w:b w:val="1"/>
          <w:bCs w:val="1"/>
          <w:vertAlign w:val="superscript"/>
        </w:rPr>
        <w:t xml:space="preserve">11  </w:t>
      </w:r>
      <w:r>
        <w:rPr/>
        <w:t xml:space="preserve">And I saw heaven opened, and behold a </w:t>
      </w:r>
      <w:r>
        <w:rPr>
          <w:b w:val="1"/>
          <w:bCs w:val="1"/>
        </w:rPr>
        <w:t xml:space="preserve">white horse</w:t>
      </w:r>
      <w:r>
        <w:rPr/>
        <w:t xml:space="preserve"> </w:t>
      </w:r>
      <w:r>
        <w:rPr>
          <w:rStyle w:val="FootnoteReference"/>
        </w:rPr>
        <w:footnoteReference w:id="717"/>
      </w:r>
      <w:r>
        <w:rPr/>
        <w:t xml:space="preserve">; and he that sat upon him was called Faithful and True, and in righteousness he does judge and make war.</w:t>
      </w:r>
    </w:p>
    <w:p>
      <w:pPr>
        <w:pStyle w:val="BodyVerse"/>
      </w:pPr>
      <w:r>
        <w:rPr>
          <w:b w:val="1"/>
          <w:bCs w:val="1"/>
        </w:rPr>
        <w:t xml:space="preserve">[[@Bible:Re 19:12]] </w:t>
      </w:r>
      <w:r>
        <w:rPr>
          <w:sz w:val="22"/>
          <w:szCs w:val="22"/>
          <w:b w:val="1"/>
          <w:bCs w:val="1"/>
          <w:vertAlign w:val="superscript"/>
        </w:rPr>
        <w:t xml:space="preserve">12  </w:t>
      </w:r>
      <w:r>
        <w:rPr/>
        <w:t xml:space="preserve">His </w:t>
      </w:r>
      <w:r>
        <w:rPr>
          <w:b w:val="1"/>
          <w:bCs w:val="1"/>
        </w:rPr>
        <w:t xml:space="preserve">eyes</w:t>
      </w:r>
      <w:r>
        <w:rPr/>
        <w:t xml:space="preserve"> were as a </w:t>
      </w:r>
      <w:r>
        <w:rPr>
          <w:b w:val="1"/>
          <w:bCs w:val="1"/>
        </w:rPr>
        <w:t xml:space="preserve">flame of fire</w:t>
      </w:r>
      <w:r>
        <w:rPr/>
        <w:t xml:space="preserve"> </w:t>
      </w:r>
      <w:r>
        <w:rPr>
          <w:rStyle w:val="FootnoteReference"/>
        </w:rPr>
        <w:footnoteReference w:id="718"/>
      </w:r>
      <w:r>
        <w:rPr/>
        <w:t xml:space="preserve">, and on his head were many </w:t>
      </w:r>
      <w:r>
        <w:rPr>
          <w:b w:val="1"/>
          <w:bCs w:val="1"/>
        </w:rPr>
        <w:t xml:space="preserve">diadems</w:t>
      </w:r>
      <w:r>
        <w:rPr/>
        <w:t xml:space="preserve">  </w:t>
      </w:r>
      <w:r>
        <w:rPr>
          <w:color w:val="4A6FA5"/>
          <w:sz w:val="18"/>
          <w:szCs w:val="18"/>
        </w:rPr>
        <w:t xml:space="preserve"> (dd</w:t>
      </w:r>
      <w:r>
        <w:rPr>
          <w:rStyle w:val="FootnoteReference"/>
        </w:rPr>
        <w:footnoteReference w:id="719"/>
      </w:r>
      <w:r>
        <w:rPr>
          <w:color w:val="4A6FA5"/>
          <w:sz w:val="18"/>
          <w:szCs w:val="18"/>
        </w:rPr>
        <w:t xml:space="preserve">) </w:t>
      </w:r>
      <w:r>
        <w:rPr/>
        <w:t xml:space="preserve">; and he had a </w:t>
      </w:r>
      <w:r>
        <w:rPr>
          <w:b w:val="1"/>
          <w:bCs w:val="1"/>
        </w:rPr>
        <w:t xml:space="preserve">name written, that none knew, but he himself</w:t>
      </w:r>
      <w:r>
        <w:rPr/>
        <w:t xml:space="preserve"> </w:t>
      </w:r>
      <w:r>
        <w:rPr>
          <w:rStyle w:val="FootnoteReference"/>
        </w:rPr>
        <w:footnoteReference w:id="720"/>
      </w:r>
      <w:r>
        <w:rPr/>
        <w:t xml:space="preserve">.</w:t>
      </w:r>
    </w:p>
    <w:p>
      <w:pPr>
        <w:pStyle w:val="BodyVerse"/>
      </w:pPr>
      <w:r>
        <w:rPr>
          <w:b w:val="1"/>
          <w:bCs w:val="1"/>
        </w:rPr>
        <w:t xml:space="preserve">[[@Bible:Re 19:13]] </w:t>
      </w:r>
      <w:r>
        <w:rPr>
          <w:sz w:val="22"/>
          <w:szCs w:val="22"/>
          <w:b w:val="1"/>
          <w:bCs w:val="1"/>
          <w:vertAlign w:val="superscript"/>
        </w:rPr>
        <w:t xml:space="preserve">13  </w:t>
      </w:r>
      <w:r>
        <w:rPr/>
        <w:t xml:space="preserve">And he was clothed with a vesture dipped in blood: and his name is called The Word of God.</w:t>
      </w:r>
    </w:p>
    <w:p>
      <w:pPr>
        <w:pStyle w:val="BodyVerse"/>
      </w:pPr>
      <w:r>
        <w:rPr>
          <w:b w:val="1"/>
          <w:bCs w:val="1"/>
        </w:rPr>
        <w:t xml:space="preserve">[[@Bible:Re 19:14]] </w:t>
      </w:r>
      <w:r>
        <w:rPr>
          <w:sz w:val="22"/>
          <w:szCs w:val="22"/>
          <w:b w:val="1"/>
          <w:bCs w:val="1"/>
          <w:vertAlign w:val="superscript"/>
        </w:rPr>
        <w:t xml:space="preserve">14  </w:t>
      </w:r>
      <w:r>
        <w:rPr/>
        <w:t xml:space="preserve">And the armies which were in heaven </w:t>
      </w:r>
      <w:r>
        <w:rPr>
          <w:b w:val="1"/>
          <w:bCs w:val="1"/>
        </w:rPr>
        <w:t xml:space="preserve">followed him upon white horses, clothed in fine linen, white and clean</w:t>
      </w:r>
      <w:r>
        <w:rPr/>
        <w:t xml:space="preserve"> </w:t>
      </w:r>
      <w:r>
        <w:rPr>
          <w:rStyle w:val="FootnoteReference"/>
        </w:rPr>
        <w:footnoteReference w:id="721"/>
      </w:r>
      <w:r>
        <w:rPr/>
        <w:t xml:space="preserve"> </w:t>
      </w:r>
      <w:r>
        <w:rPr>
          <w:rStyle w:val="FootnoteReference"/>
        </w:rPr>
        <w:footnoteReference w:id="722"/>
      </w:r>
      <w:r>
        <w:rPr/>
        <w:t xml:space="preserve"> </w:t>
      </w:r>
      <w:r>
        <w:rPr>
          <w:rStyle w:val="FootnoteReference"/>
        </w:rPr>
        <w:footnoteReference w:id="723"/>
      </w:r>
      <w:r>
        <w:rPr/>
        <w:t xml:space="preserve">.</w:t>
      </w:r>
    </w:p>
    <w:p>
      <w:pPr>
        <w:pStyle w:val="BodyVerse"/>
      </w:pPr>
      <w:r>
        <w:rPr>
          <w:b w:val="1"/>
          <w:bCs w:val="1"/>
        </w:rPr>
        <w:t xml:space="preserve">[[@Bible:Re 19:15]] </w:t>
      </w:r>
      <w:r>
        <w:rPr>
          <w:sz w:val="22"/>
          <w:szCs w:val="22"/>
          <w:b w:val="1"/>
          <w:bCs w:val="1"/>
          <w:vertAlign w:val="superscript"/>
        </w:rPr>
        <w:t xml:space="preserve">15  </w:t>
      </w:r>
      <w:r>
        <w:rPr/>
        <w:t xml:space="preserve">And out of his mouth goes a sharp </w:t>
      </w:r>
      <w:r>
        <w:rPr>
          <w:b w:val="1"/>
          <w:bCs w:val="1"/>
        </w:rPr>
        <w:t xml:space="preserve">sword</w:t>
      </w:r>
      <w:r>
        <w:rPr/>
        <w:t xml:space="preserve"> </w:t>
      </w:r>
      <w:r>
        <w:rPr>
          <w:rStyle w:val="FootnoteReference"/>
        </w:rPr>
        <w:footnoteReference w:id="724"/>
      </w:r>
      <w:r>
        <w:rPr/>
        <w:t xml:space="preserve">, that with it he should smite the nations: and he shall rule them with a </w:t>
      </w:r>
      <w:r>
        <w:rPr>
          <w:b w:val="1"/>
          <w:bCs w:val="1"/>
        </w:rPr>
        <w:t xml:space="preserve">rod of iron</w:t>
      </w:r>
      <w:r>
        <w:rPr/>
        <w:t xml:space="preserve"> </w:t>
      </w:r>
      <w:r>
        <w:rPr>
          <w:rStyle w:val="FootnoteReference"/>
        </w:rPr>
        <w:footnoteReference w:id="725"/>
      </w:r>
      <w:r>
        <w:rPr/>
        <w:t xml:space="preserve">: and he </w:t>
      </w:r>
      <w:r>
        <w:rPr>
          <w:b w:val="1"/>
          <w:bCs w:val="1"/>
        </w:rPr>
        <w:t xml:space="preserve">treads</w:t>
      </w:r>
      <w:r>
        <w:rPr/>
        <w:t xml:space="preserve"> </w:t>
      </w:r>
      <w:r>
        <w:rPr>
          <w:rStyle w:val="FootnoteReference"/>
        </w:rPr>
        <w:footnoteReference w:id="726"/>
      </w:r>
      <w:r>
        <w:rPr/>
        <w:t xml:space="preserve"> the </w:t>
      </w:r>
      <w:r>
        <w:rPr>
          <w:b w:val="1"/>
          <w:bCs w:val="1"/>
        </w:rPr>
        <w:t xml:space="preserve">winepress of the fierceness and wrath of Almighty God</w:t>
      </w:r>
      <w:r>
        <w:rPr/>
        <w:t xml:space="preserve"> </w:t>
      </w:r>
      <w:r>
        <w:rPr>
          <w:color w:val="4A6FA5"/>
          <w:sz w:val="18"/>
          <w:szCs w:val="18"/>
        </w:rPr>
        <w:t xml:space="preserve"> (w</w:t>
      </w:r>
      <w:r>
        <w:rPr>
          <w:rStyle w:val="FootnoteReference"/>
        </w:rPr>
        <w:footnoteReference w:id="727"/>
      </w:r>
      <w:r>
        <w:rPr>
          <w:color w:val="4A6FA5"/>
          <w:sz w:val="18"/>
          <w:szCs w:val="18"/>
        </w:rPr>
        <w:t xml:space="preserve">) </w:t>
      </w:r>
      <w:r>
        <w:rPr/>
        <w:t xml:space="preserve">.</w:t>
      </w:r>
    </w:p>
    <w:p>
      <w:pPr>
        <w:pStyle w:val="BodyVerse"/>
      </w:pPr>
      <w:r>
        <w:rPr>
          <w:b w:val="1"/>
          <w:bCs w:val="1"/>
        </w:rPr>
        <w:t xml:space="preserve">[[@Bible:Re 19:16]] </w:t>
      </w:r>
      <w:r>
        <w:rPr>
          <w:sz w:val="22"/>
          <w:szCs w:val="22"/>
          <w:b w:val="1"/>
          <w:bCs w:val="1"/>
          <w:vertAlign w:val="superscript"/>
        </w:rPr>
        <w:t xml:space="preserve">16  </w:t>
      </w:r>
      <w:r>
        <w:rPr/>
        <w:t xml:space="preserve">And he has on his vesture and on his thigh a name written, </w:t>
      </w:r>
      <w:r>
        <w:rPr>
          <w:b w:val="1"/>
          <w:bCs w:val="1"/>
        </w:rPr>
        <w:t xml:space="preserve">King Of Kings, And Lord Of Lords</w:t>
      </w:r>
      <w:r>
        <w:rPr/>
        <w:t xml:space="preserve"> </w:t>
      </w:r>
      <w:r>
        <w:rPr>
          <w:rStyle w:val="FootnoteReference"/>
        </w:rPr>
        <w:footnoteReference w:id="728"/>
      </w:r>
      <w:r>
        <w:rPr/>
        <w:t xml:space="preserve">.</w:t>
      </w:r>
    </w:p>
    <w:p>
      <w:pPr>
        <w:spacing w:after="150"/>
      </w:pPr>
      <w:r>
        <w:rPr/>
        <w:t xml:space="preserve"/>
      </w:r>
    </w:p>
    <w:p>
      <w:pPr>
        <w:pStyle w:val="Heading3"/>
      </w:pPr>
      <w:bookmarkStart w:id="116" w:name="_Toc116"/>
      <w:r>
        <w:t>Supper of the Great God</w:t>
      </w:r>
      <w:bookmarkEnd w:id="116"/>
    </w:p>
    <w:p>
      <w:pPr>
        <w:pStyle w:val="SectionBody"/>
      </w:pPr>
      <w:r>
        <w:rPr>
          <w:b w:val="1"/>
          <w:bCs w:val="1"/>
        </w:rPr>
        <w:t xml:space="preserve">Important Note:</w:t>
      </w:r>
      <w:r>
        <w:rPr/>
        <w:t xml:space="preserve"> This is not the wedding supper of the Lamb.</w:t>
      </w:r>
    </w:p>
    <w:p>
      <w:pPr>
        <w:spacing w:after="150"/>
      </w:pPr>
      <w:r>
        <w:rPr/>
        <w:t xml:space="preserve"/>
      </w:r>
    </w:p>
    <w:p>
      <w:pPr>
        <w:pStyle w:val="BodyVerse"/>
      </w:pPr>
      <w:r>
        <w:rPr>
          <w:b w:val="1"/>
          <w:bCs w:val="1"/>
        </w:rPr>
        <w:t xml:space="preserve">[[@Bible:Re 19:17]] </w:t>
      </w:r>
      <w:r>
        <w:rPr>
          <w:sz w:val="22"/>
          <w:szCs w:val="22"/>
          <w:b w:val="1"/>
          <w:bCs w:val="1"/>
          <w:vertAlign w:val="superscript"/>
        </w:rPr>
        <w:t xml:space="preserve">17  </w:t>
      </w:r>
      <w:r>
        <w:rPr/>
        <w:t xml:space="preserve">And I saw a messenger standing in the </w:t>
      </w:r>
      <w:r>
        <w:rPr>
          <w:b w:val="1"/>
          <w:bCs w:val="1"/>
        </w:rPr>
        <w:t xml:space="preserve">sun</w:t>
      </w:r>
      <w:r>
        <w:rPr/>
        <w:t xml:space="preserve"> </w:t>
      </w:r>
      <w:r>
        <w:rPr>
          <w:rStyle w:val="FootnoteReference"/>
        </w:rPr>
        <w:footnoteReference w:id="729"/>
      </w:r>
      <w:r>
        <w:rPr/>
        <w:t xml:space="preserve">; and he cried with a great voice, saying to all the fowls that fly in the midst of heaven, Come and gather yourselves together unto the supper of the great God;</w:t>
      </w:r>
    </w:p>
    <w:p>
      <w:pPr>
        <w:pStyle w:val="BodyVerse"/>
      </w:pPr>
      <w:r>
        <w:rPr>
          <w:b w:val="1"/>
          <w:bCs w:val="1"/>
        </w:rPr>
        <w:t xml:space="preserve">[[@Bible:Re 19:18]] </w:t>
      </w:r>
      <w:r>
        <w:rPr>
          <w:sz w:val="22"/>
          <w:szCs w:val="22"/>
          <w:b w:val="1"/>
          <w:bCs w:val="1"/>
          <w:vertAlign w:val="superscript"/>
        </w:rPr>
        <w:t xml:space="preserve">18  </w:t>
      </w:r>
      <w:r>
        <w:rPr/>
        <w:t xml:space="preserve">That you all may eat the flesh of kings, and the flesh of captains, and the flesh of strong men, and the flesh of horses, and of them that sit on them, and the flesh of all men, both free and bond, both small and great.</w:t>
      </w:r>
    </w:p>
    <w:p>
      <w:pPr>
        <w:pStyle w:val="BodyVerse"/>
      </w:pPr>
      <w:r>
        <w:rPr>
          <w:b w:val="1"/>
          <w:bCs w:val="1"/>
        </w:rPr>
        <w:t xml:space="preserve">[[@Bible:Re 19:19]] </w:t>
      </w:r>
      <w:r>
        <w:rPr>
          <w:sz w:val="22"/>
          <w:szCs w:val="22"/>
          <w:b w:val="1"/>
          <w:bCs w:val="1"/>
          <w:vertAlign w:val="superscript"/>
        </w:rPr>
        <w:t xml:space="preserve">19  </w:t>
      </w:r>
      <w:r>
        <w:rPr/>
        <w:t xml:space="preserve">And I saw the beast, and the kings of the earth, and their armies, gathered together to make war against him who sat on the horse, and against his army.</w:t>
      </w:r>
    </w:p>
    <w:p>
      <w:pPr>
        <w:spacing w:after="150"/>
      </w:pPr>
      <w:r>
        <w:rPr/>
        <w:t xml:space="preserve"/>
      </w:r>
    </w:p>
    <w:p>
      <w:pPr>
        <w:pStyle w:val="Heading3"/>
      </w:pPr>
      <w:bookmarkStart w:id="117" w:name="_Toc117"/>
      <w:r>
        <w:t>The Sea Beast and False Prophet Cast Into Lake of Fire</w:t>
      </w:r>
      <w:bookmarkEnd w:id="117"/>
    </w:p>
    <w:p>
      <w:pPr>
        <w:pStyle w:val="BodyVerse"/>
      </w:pPr>
      <w:r>
        <w:rPr>
          <w:b w:val="1"/>
          <w:bCs w:val="1"/>
        </w:rPr>
        <w:t xml:space="preserve">[[@Bible:Re 19:20]] </w:t>
      </w:r>
      <w:r>
        <w:rPr>
          <w:sz w:val="22"/>
          <w:szCs w:val="22"/>
          <w:b w:val="1"/>
          <w:bCs w:val="1"/>
          <w:vertAlign w:val="superscript"/>
        </w:rPr>
        <w:t xml:space="preserve">20  </w:t>
      </w:r>
      <w:r>
        <w:rPr/>
        <w:t xml:space="preserve">And the beast was taken, and with him the false prophet who wrought </w:t>
      </w:r>
      <w:r>
        <w:rPr>
          <w:b w:val="1"/>
          <w:bCs w:val="1"/>
        </w:rPr>
        <w:t xml:space="preserve">signs</w:t>
      </w:r>
      <w:r>
        <w:rPr/>
        <w:t xml:space="preserve"> </w:t>
      </w:r>
      <w:r>
        <w:rPr>
          <w:rStyle w:val="FootnoteReference"/>
        </w:rPr>
        <w:footnoteReference w:id="730"/>
      </w:r>
      <w:r>
        <w:rPr/>
        <w:t xml:space="preserve"> before him, with which he deceived those who had received the </w:t>
      </w:r>
      <w:r>
        <w:rPr>
          <w:b w:val="1"/>
          <w:bCs w:val="1"/>
        </w:rPr>
        <w:t xml:space="preserve">mark</w:t>
      </w:r>
      <w:r>
        <w:rPr/>
        <w:t xml:space="preserve"> </w:t>
      </w:r>
      <w:r>
        <w:rPr>
          <w:rStyle w:val="FootnoteReference"/>
        </w:rPr>
        <w:footnoteReference w:id="731"/>
      </w:r>
      <w:r>
        <w:rPr/>
        <w:t xml:space="preserve"> of the beast, and those who worshipped his </w:t>
      </w:r>
      <w:r>
        <w:rPr>
          <w:b w:val="1"/>
          <w:bCs w:val="1"/>
        </w:rPr>
        <w:t xml:space="preserve">image</w:t>
      </w:r>
      <w:r>
        <w:rPr/>
        <w:t xml:space="preserve"> </w:t>
      </w:r>
      <w:r>
        <w:rPr>
          <w:rStyle w:val="FootnoteReference"/>
        </w:rPr>
        <w:footnoteReference w:id="732"/>
      </w:r>
      <w:r>
        <w:rPr/>
        <w:t xml:space="preserve">. These two were cast alive into a </w:t>
      </w:r>
      <w:r>
        <w:rPr>
          <w:b w:val="1"/>
          <w:bCs w:val="1"/>
        </w:rPr>
        <w:t xml:space="preserve">lake of fire</w:t>
      </w:r>
      <w:r>
        <w:rPr/>
        <w:t xml:space="preserve"> </w:t>
      </w:r>
      <w:r>
        <w:rPr>
          <w:rStyle w:val="FootnoteReference"/>
        </w:rPr>
        <w:footnoteReference w:id="733"/>
      </w:r>
      <w:r>
        <w:rPr/>
        <w:t xml:space="preserve"> </w:t>
      </w:r>
      <w:r>
        <w:rPr>
          <w:rStyle w:val="FootnoteReference"/>
        </w:rPr>
        <w:footnoteReference w:id="734"/>
      </w:r>
      <w:r>
        <w:rPr/>
        <w:t xml:space="preserve"> burning with brimstone.</w:t>
      </w:r>
    </w:p>
    <w:p>
      <w:pPr>
        <w:pStyle w:val="BodyVerse"/>
      </w:pPr>
      <w:r>
        <w:rPr>
          <w:b w:val="1"/>
          <w:bCs w:val="1"/>
        </w:rPr>
        <w:t xml:space="preserve">[[@Bible:Re 19:21]] </w:t>
      </w:r>
      <w:r>
        <w:rPr>
          <w:sz w:val="22"/>
          <w:szCs w:val="22"/>
          <w:b w:val="1"/>
          <w:bCs w:val="1"/>
          <w:vertAlign w:val="superscript"/>
        </w:rPr>
        <w:t xml:space="preserve">21  </w:t>
      </w:r>
      <w:r>
        <w:rPr/>
        <w:t xml:space="preserve">And the rest were slain with the </w:t>
      </w:r>
      <w:r>
        <w:rPr>
          <w:b w:val="1"/>
          <w:bCs w:val="1"/>
        </w:rPr>
        <w:t xml:space="preserve">sword</w:t>
      </w:r>
      <w:r>
        <w:rPr/>
        <w:t xml:space="preserve"> of him who sat upon the horse, which sword proceeded out of his mouth </w:t>
      </w:r>
      <w:r>
        <w:rPr>
          <w:rStyle w:val="FootnoteReference"/>
        </w:rPr>
        <w:footnoteReference w:id="735"/>
      </w:r>
      <w:r>
        <w:rPr/>
        <w:t xml:space="preserve">: and all the fowls were filled with their flesh.</w:t>
      </w:r>
    </w:p>
    <w:p>
      <w:pPr>
        <w:spacing w:after="150"/>
      </w:pPr>
      <w:r>
        <w:rPr/>
        <w:t xml:space="preserve"/>
      </w:r>
    </w:p>
    <w:p>
      <w:pPr>
        <w:pStyle w:val="Heading3"/>
      </w:pPr>
      <w:bookmarkStart w:id="118" w:name="_Toc118"/>
      <w:r>
        <w:t>Satan Chained for 1000 Years In Bottomless Pit</w:t>
      </w:r>
      <w:bookmarkEnd w:id="118"/>
    </w:p>
    <w:p>
      <w:pPr>
        <w:pStyle w:val="SectionBody"/>
      </w:pPr>
      <w:r>
        <w:rPr>
          <w:b w:val="1"/>
          <w:bCs w:val="1"/>
        </w:rPr>
        <w:t xml:space="preserve">Important Note</w:t>
      </w:r>
      <w:r>
        <w:rPr/>
        <w:t xml:space="preserve">: All instances of the 1000 years are phrased in a literal sense. Revelation always used specific amounts of time, like 42 months, 5 months, 1260 days, in a literal sense. When an idiom is used, it is made plain like 1000 times 1000. When the text says “a thousand years,” it is being literal; Revelation already has an idiom for countlessness, “1000 times 1000,” so if we were to expect this to be a countless number as well, then it would have said “1000 times 1000 years”. But, it does not. It says exactly 1000 years. And, not just one time in this way, but every time, 6 in total. This means 1000 years means 1000 years.</w:t>
      </w:r>
    </w:p>
    <w:p>
      <w:pPr>
        <w:pStyle w:val="SectionBody"/>
      </w:pPr>
      <w:r>
        <w:rPr/>
        <w:t xml:space="preserve">As an example of an idiom, in John 6, we see the idea of “the last day,” and in 2 Peter 3:8, we see “But, beloved, be not ignorant of this one thing, that one day is with the Lord as a thousand years, and a thousand years as one day.” Because “the last day” in John is flexible in its characteristics as it is used as a title, “the last day”, it is not limited to a 24-hour day. But, for “a thousand years,” it is not titled until first defined as a literal amount of time. It is possible, then, that 2 Peter 3:8 corresponds to “the last day” of roughly 1000 years, and that “the last day” also likely includes the 7 years of tribulation. Mainly, Revelation confirms this through the way Jesus speaks of the last day in John and what the prophecy of Revelation reveals about it. That “the last day” is 1000 years.</w:t>
      </w:r>
    </w:p>
    <w:p>
      <w:pPr>
        <w:pStyle w:val="SectionBody"/>
      </w:pPr>
      <w:r>
        <w:rPr/>
        <w:t xml:space="preserve">The early church might have understood this concept of a literal 1000 years. For example, Irenaeus, Against Heresies 5.28.3 or the Epistle of Barnabas 15.4–5. Epistle of Barnabas 15.4–5, “Notice, children, what He means by the words He completed them in six days. He means this: in six thousand years the Lord will make an end of all things; for, in His reckoning, the “day” means “a thousand years.” He is Himself, my witness, when He says: Behold, a day of the Lord is as a thousand years. Therefore, children, in six days—in the course of six thousand years—all things will be brought to an end. 5 And He rested on the seventh day. This is the meaning: when His Son returns, He will put an end to the era of the Lawless One, judge the wicked, and change the sun, the moon, and the stars. Then, on the seventh day, He will properly rest” Here we see the author, thought not known to truly be Barnabas, Barnabas writes of an expected 6000 years leading up to the end and then a last 7th day for rest. Or, the end comes at the 6000th year. And then “the last day” as John 6:39 describes, “And this is the Father’s will which hath sent me, that of all which he hath given me I should lose nothing, but should raise it up again at the last day.” And now, in Revelation 20, we see further fulfillment of that word, if not already begun in Revelation 14:1 and 7.</w:t>
      </w:r>
    </w:p>
    <w:p>
      <w:pPr>
        <w:spacing w:after="150"/>
      </w:pPr>
      <w:r>
        <w:rPr/>
        <w:t xml:space="preserve"/>
      </w:r>
    </w:p>
    <w:p>
      <w:pPr>
        <w:pStyle w:val="BodyVerse"/>
      </w:pPr>
      <w:r>
        <w:rPr>
          <w:b w:val="1"/>
          <w:bCs w:val="1"/>
        </w:rPr>
        <w:t xml:space="preserve">[[@Bible:Re 20:1]] </w:t>
      </w:r>
      <w:r>
        <w:rPr>
          <w:sz w:val="22"/>
          <w:szCs w:val="22"/>
          <w:b w:val="1"/>
          <w:bCs w:val="1"/>
          <w:vertAlign w:val="superscript"/>
        </w:rPr>
        <w:t xml:space="preserve">1  </w:t>
      </w:r>
      <w:r>
        <w:rPr/>
        <w:t xml:space="preserve">And I saw a messenger come down from heaven, having the </w:t>
      </w:r>
      <w:r>
        <w:rPr>
          <w:b w:val="1"/>
          <w:bCs w:val="1"/>
        </w:rPr>
        <w:t xml:space="preserve">key</w:t>
      </w:r>
      <w:r>
        <w:rPr/>
        <w:t xml:space="preserve"> </w:t>
      </w:r>
      <w:r>
        <w:rPr>
          <w:rStyle w:val="FootnoteReference"/>
        </w:rPr>
        <w:footnoteReference w:id="736"/>
      </w:r>
      <w:r>
        <w:rPr/>
        <w:t xml:space="preserve"> of the </w:t>
      </w:r>
      <w:r>
        <w:rPr>
          <w:b w:val="1"/>
          <w:bCs w:val="1"/>
        </w:rPr>
        <w:t xml:space="preserve">bottomless pit</w:t>
      </w:r>
      <w:r>
        <w:rPr/>
        <w:t xml:space="preserve"> </w:t>
      </w:r>
      <w:r>
        <w:rPr>
          <w:rStyle w:val="FootnoteReference"/>
        </w:rPr>
        <w:footnoteReference w:id="737"/>
      </w:r>
      <w:r>
        <w:rPr/>
        <w:t xml:space="preserve"> </w:t>
      </w:r>
      <w:r>
        <w:rPr>
          <w:rStyle w:val="FootnoteReference"/>
        </w:rPr>
        <w:footnoteReference w:id="738"/>
      </w:r>
      <w:r>
        <w:rPr/>
        <w:t xml:space="preserve"> and a great chain in his hand.</w:t>
      </w:r>
    </w:p>
    <w:p>
      <w:pPr>
        <w:pStyle w:val="BodyVerse"/>
      </w:pPr>
      <w:r>
        <w:rPr>
          <w:b w:val="1"/>
          <w:bCs w:val="1"/>
        </w:rPr>
        <w:t xml:space="preserve">[[@Bible:Re 20:2]] </w:t>
      </w:r>
      <w:r>
        <w:rPr>
          <w:sz w:val="22"/>
          <w:szCs w:val="22"/>
          <w:b w:val="1"/>
          <w:bCs w:val="1"/>
          <w:vertAlign w:val="superscript"/>
        </w:rPr>
        <w:t xml:space="preserve">2  </w:t>
      </w:r>
      <w:r>
        <w:rPr/>
        <w:t xml:space="preserve">And he laid hold on the dragon, that old serpent, who is the Devil, and Satan, and bound him a </w:t>
      </w:r>
      <w:r>
        <w:rPr>
          <w:b w:val="1"/>
          <w:bCs w:val="1"/>
        </w:rPr>
        <w:t xml:space="preserve">thousand years</w:t>
      </w:r>
      <w:r>
        <w:rPr/>
        <w:t xml:space="preserve"> </w:t>
      </w:r>
      <w:r>
        <w:rPr>
          <w:rStyle w:val="FootnoteReference"/>
        </w:rPr>
        <w:footnoteReference w:id="739"/>
      </w:r>
      <w:r>
        <w:rPr/>
        <w:t xml:space="preserve">.</w:t>
      </w:r>
    </w:p>
    <w:p>
      <w:pPr>
        <w:pStyle w:val="BodyVerse"/>
      </w:pPr>
      <w:r>
        <w:rPr>
          <w:b w:val="1"/>
          <w:bCs w:val="1"/>
        </w:rPr>
        <w:t xml:space="preserve">[[@Bible:Re 20:3]] </w:t>
      </w:r>
      <w:r>
        <w:rPr>
          <w:sz w:val="22"/>
          <w:szCs w:val="22"/>
          <w:b w:val="1"/>
          <w:bCs w:val="1"/>
          <w:vertAlign w:val="superscript"/>
        </w:rPr>
        <w:t xml:space="preserve">3  </w:t>
      </w:r>
      <w:r>
        <w:rPr/>
        <w:t xml:space="preserve">And cast him into the </w:t>
      </w:r>
      <w:r>
        <w:rPr>
          <w:b w:val="1"/>
          <w:bCs w:val="1"/>
        </w:rPr>
        <w:t xml:space="preserve">bottomless pit</w:t>
      </w:r>
      <w:r>
        <w:rPr/>
        <w:t xml:space="preserve"> </w:t>
      </w:r>
      <w:r>
        <w:rPr>
          <w:rStyle w:val="FootnoteReference"/>
        </w:rPr>
        <w:footnoteReference w:id="740"/>
      </w:r>
      <w:r>
        <w:rPr/>
        <w:t xml:space="preserve">, and shut him up, and set a seal upon him, that he should deceive the nations no more, till the </w:t>
      </w:r>
      <w:r>
        <w:rPr>
          <w:b w:val="1"/>
          <w:bCs w:val="1"/>
        </w:rPr>
        <w:t xml:space="preserve">thousand years</w:t>
      </w:r>
      <w:r>
        <w:rPr/>
        <w:t xml:space="preserve"> </w:t>
      </w:r>
      <w:r>
        <w:rPr>
          <w:rStyle w:val="FootnoteReference"/>
        </w:rPr>
        <w:footnoteReference w:id="741"/>
      </w:r>
      <w:r>
        <w:rPr/>
        <w:t xml:space="preserve"> should be </w:t>
      </w:r>
      <w:r>
        <w:rPr>
          <w:b w:val="1"/>
          <w:bCs w:val="1"/>
        </w:rPr>
        <w:t xml:space="preserve">fulfilled</w:t>
      </w:r>
      <w:r>
        <w:rPr/>
        <w:t xml:space="preserve"> </w:t>
      </w:r>
      <w:r>
        <w:rPr>
          <w:rStyle w:val="FootnoteReference"/>
        </w:rPr>
        <w:footnoteReference w:id="742"/>
      </w:r>
      <w:r>
        <w:rPr/>
        <w:t xml:space="preserve">: and after that he must be loosed a small season.</w:t>
      </w:r>
    </w:p>
    <w:p>
      <w:pPr>
        <w:spacing w:after="150"/>
      </w:pPr>
      <w:r>
        <w:rPr/>
        <w:t xml:space="preserve"/>
      </w:r>
    </w:p>
    <w:p>
      <w:pPr>
        <w:pStyle w:val="Heading3"/>
      </w:pPr>
      <w:bookmarkStart w:id="119" w:name="_Toc119"/>
      <w:r>
        <w:t>Living Saints Rule and First Resurrection</w:t>
      </w:r>
      <w:bookmarkEnd w:id="119"/>
    </w:p>
    <w:p>
      <w:pPr>
        <w:pStyle w:val="SectionBody"/>
      </w:pPr>
      <w:r>
        <w:rPr>
          <w:b w:val="1"/>
          <w:bCs w:val="1"/>
        </w:rPr>
        <w:t xml:space="preserve">Important Note:</w:t>
      </w:r>
      <w:r>
        <w:rPr/>
        <w:t xml:space="preserve"> The living in heaven are seen on thrones as a first group BEFORE the dead are raised. The second group is described as having died. These dead were NOT reaped at the 7th trumpet. These are also distinct from the ones already on the throne and are already glorified. This resurrection comes after the first group given thrones. This is the reverse order of what Paul describes in 1 Corinthians 15:52 and 1 Thessalonians 4:15-18. The second group is only resurrected after the sea beast is cast into the lake of fire, and Satan is cast into the bottomless pit, and the living are enthroned. This is well after the 7th vial plague.</w:t>
      </w:r>
    </w:p>
    <w:p>
      <w:pPr>
        <w:pStyle w:val="SectionBody"/>
      </w:pPr>
      <w:r>
        <w:rPr/>
        <w:t xml:space="preserve">Also, in Revelation 20:4, the dead are not described in explicit terms as overcoming or having victory over the beast. In context, the beast has already been dealt with, so there is no need for the passage to frame their vindication as a present-tense "victory over him." We may naturally think in those terms—and that may be a sound inference—but the text itself does not emphasize it the way earlier passages do.</w:t>
      </w:r>
    </w:p>
    <w:p>
      <w:pPr>
        <w:pStyle w:val="SectionBody"/>
      </w:pPr>
      <w:r>
        <w:rPr/>
        <w:t xml:space="preserve">By contrast, Revelation 12 and Revelation 15 speak in defined, overt language of salvation, victory, and overcoming. Those scenes feel like triumph. They read like the testimony of people who are on top of the conflict, not merely crushed beneath it.</w:t>
      </w:r>
    </w:p>
    <w:p>
      <w:pPr>
        <w:spacing w:after="150"/>
      </w:pPr>
      <w:r>
        <w:rPr/>
        <w:t xml:space="preserve"/>
      </w:r>
    </w:p>
    <w:p>
      <w:pPr>
        <w:pStyle w:val="BodyVerse"/>
      </w:pPr>
      <w:r>
        <w:rPr>
          <w:b w:val="1"/>
          <w:bCs w:val="1"/>
        </w:rPr>
        <w:t xml:space="preserve">[[@Bible:Re 20:4]] </w:t>
      </w:r>
      <w:r>
        <w:rPr>
          <w:sz w:val="22"/>
          <w:szCs w:val="22"/>
          <w:b w:val="1"/>
          <w:bCs w:val="1"/>
          <w:vertAlign w:val="superscript"/>
        </w:rPr>
        <w:t xml:space="preserve">4  </w:t>
      </w:r>
      <w:r>
        <w:rPr/>
        <w:t xml:space="preserve">And I saw thrones, and they sat upon them, and judgment was given unto them: and I saw the </w:t>
      </w:r>
      <w:r>
        <w:rPr>
          <w:b w:val="1"/>
          <w:bCs w:val="1"/>
        </w:rPr>
        <w:t xml:space="preserve">souls</w:t>
      </w:r>
      <w:r>
        <w:rPr/>
        <w:t xml:space="preserve"> </w:t>
      </w:r>
      <w:r>
        <w:rPr>
          <w:rStyle w:val="FootnoteReference"/>
        </w:rPr>
        <w:footnoteReference w:id="743"/>
      </w:r>
      <w:r>
        <w:rPr/>
        <w:t xml:space="preserve"> of those who were beheaded for the witness of Jesus, and for the word of God, and who had not worshipped the </w:t>
      </w:r>
      <w:r>
        <w:rPr>
          <w:b w:val="1"/>
          <w:bCs w:val="1"/>
        </w:rPr>
        <w:t xml:space="preserve">beast</w:t>
      </w:r>
      <w:r>
        <w:rPr/>
        <w:t xml:space="preserve"> </w:t>
      </w:r>
      <w:r>
        <w:rPr>
          <w:rStyle w:val="FootnoteReference"/>
        </w:rPr>
        <w:footnoteReference w:id="744"/>
      </w:r>
      <w:r>
        <w:rPr/>
        <w:t xml:space="preserve">, neither his </w:t>
      </w:r>
      <w:r>
        <w:rPr>
          <w:b w:val="1"/>
          <w:bCs w:val="1"/>
        </w:rPr>
        <w:t xml:space="preserve">image</w:t>
      </w:r>
      <w:r>
        <w:rPr/>
        <w:t xml:space="preserve"> </w:t>
      </w:r>
      <w:r>
        <w:rPr>
          <w:rStyle w:val="FootnoteReference"/>
        </w:rPr>
        <w:footnoteReference w:id="745"/>
      </w:r>
      <w:r>
        <w:rPr/>
        <w:t xml:space="preserve">, nor had received his </w:t>
      </w:r>
      <w:r>
        <w:rPr>
          <w:b w:val="1"/>
          <w:bCs w:val="1"/>
        </w:rPr>
        <w:t xml:space="preserve">mark</w:t>
      </w:r>
      <w:r>
        <w:rPr/>
        <w:t xml:space="preserve"> </w:t>
      </w:r>
      <w:r>
        <w:rPr>
          <w:rStyle w:val="FootnoteReference"/>
        </w:rPr>
        <w:footnoteReference w:id="746"/>
      </w:r>
      <w:r>
        <w:rPr/>
        <w:t xml:space="preserve"> upon their </w:t>
      </w:r>
      <w:r>
        <w:rPr>
          <w:b w:val="1"/>
          <w:bCs w:val="1"/>
        </w:rPr>
        <w:t xml:space="preserve">foreheads</w:t>
      </w:r>
      <w:r>
        <w:rPr/>
        <w:t xml:space="preserve"> </w:t>
      </w:r>
      <w:r>
        <w:rPr>
          <w:rStyle w:val="FootnoteReference"/>
        </w:rPr>
        <w:footnoteReference w:id="747"/>
      </w:r>
      <w:r>
        <w:rPr/>
        <w:t xml:space="preserve">, or in their hands; and they lived and reigned with Christ a </w:t>
      </w:r>
      <w:r>
        <w:rPr>
          <w:b w:val="1"/>
          <w:bCs w:val="1"/>
        </w:rPr>
        <w:t xml:space="preserve">thousand years</w:t>
      </w:r>
      <w:r>
        <w:rPr/>
        <w:t xml:space="preserve"> </w:t>
      </w:r>
      <w:r>
        <w:rPr>
          <w:rStyle w:val="FootnoteReference"/>
        </w:rPr>
        <w:footnoteReference w:id="748"/>
      </w:r>
      <w:r>
        <w:rPr/>
        <w:t xml:space="preserve"> </w:t>
      </w:r>
      <w:r>
        <w:rPr>
          <w:rStyle w:val="FootnoteReference"/>
        </w:rPr>
        <w:footnoteReference w:id="749"/>
      </w:r>
      <w:r>
        <w:rPr/>
        <w:t xml:space="preserve">.</w:t>
      </w:r>
    </w:p>
    <w:p>
      <w:pPr>
        <w:jc w:val="left"/>
        <w:ind w:left="360" w:right="0" w:firstLine="0" w:hanging="0"/>
        <w:spacing w:after="60"/>
      </w:pPr>
      <w:r>
        <w:rPr>
          <w:sz w:val="18"/>
          <w:szCs w:val="18"/>
          <w:i w:val="1"/>
          <w:iCs w:val="1"/>
        </w:rPr>
        <w:t xml:space="preserve">[fn] The living saints are already ruling on thrones, the dead are mentioned next.</w:t>
      </w:r>
    </w:p>
    <w:p>
      <w:pPr>
        <w:pStyle w:val="BodyVerse"/>
      </w:pPr>
      <w:r>
        <w:rPr>
          <w:b w:val="1"/>
          <w:bCs w:val="1"/>
        </w:rPr>
        <w:t xml:space="preserve">[[@Bible:Re 20:5]] </w:t>
      </w:r>
      <w:r>
        <w:rPr>
          <w:sz w:val="22"/>
          <w:szCs w:val="22"/>
          <w:b w:val="1"/>
          <w:bCs w:val="1"/>
          <w:vertAlign w:val="superscript"/>
        </w:rPr>
        <w:t xml:space="preserve">5  </w:t>
      </w:r>
      <w:r>
        <w:rPr/>
        <w:t xml:space="preserve">But the rest of the dead lived not again until the </w:t>
      </w:r>
      <w:r>
        <w:rPr>
          <w:b w:val="1"/>
          <w:bCs w:val="1"/>
        </w:rPr>
        <w:t xml:space="preserve">thousand years</w:t>
      </w:r>
      <w:r>
        <w:rPr/>
        <w:t xml:space="preserve"> </w:t>
      </w:r>
      <w:r>
        <w:rPr>
          <w:rStyle w:val="FootnoteReference"/>
        </w:rPr>
        <w:footnoteReference w:id="750"/>
      </w:r>
      <w:r>
        <w:rPr/>
        <w:t xml:space="preserve"> </w:t>
      </w:r>
      <w:r>
        <w:rPr>
          <w:rStyle w:val="FootnoteReference"/>
        </w:rPr>
        <w:footnoteReference w:id="751"/>
      </w:r>
      <w:r>
        <w:rPr/>
        <w:t xml:space="preserve"> were finished. This is the first resurrection.</w:t>
      </w:r>
    </w:p>
    <w:p>
      <w:pPr>
        <w:jc w:val="left"/>
        <w:ind w:left="360" w:right="0" w:firstLine="0" w:hanging="0"/>
        <w:spacing w:after="60"/>
      </w:pPr>
      <w:r>
        <w:rPr>
          <w:sz w:val="18"/>
          <w:szCs w:val="18"/>
          <w:i w:val="1"/>
          <w:iCs w:val="1"/>
        </w:rPr>
        <w:t xml:space="preserve">[fn] This "first" resurrection is clearly positioned within this portion of Revelation, not the whole book, as we have already seen the resurrection of the two witnesses in 11:11. So, this first resurrection does not need to include the resurrection of 1 Corinthians 15:52.</w:t>
      </w:r>
    </w:p>
    <w:p>
      <w:pPr>
        <w:pStyle w:val="BodyVerse"/>
      </w:pPr>
      <w:r>
        <w:rPr>
          <w:b w:val="1"/>
          <w:bCs w:val="1"/>
        </w:rPr>
        <w:t xml:space="preserve">[[@Bible:Re 20:6]] </w:t>
      </w:r>
      <w:r>
        <w:rPr>
          <w:sz w:val="22"/>
          <w:szCs w:val="22"/>
          <w:b w:val="1"/>
          <w:bCs w:val="1"/>
          <w:vertAlign w:val="superscript"/>
        </w:rPr>
        <w:t xml:space="preserve">6  </w:t>
      </w:r>
      <w:r>
        <w:rPr>
          <w:b w:val="1"/>
          <w:bCs w:val="1"/>
        </w:rPr>
        <w:t xml:space="preserve">Blessed</w:t>
      </w:r>
      <w:r>
        <w:rPr/>
        <w:t xml:space="preserve"> </w:t>
      </w:r>
      <w:r>
        <w:rPr>
          <w:rStyle w:val="FootnoteReference"/>
        </w:rPr>
        <w:footnoteReference w:id="752"/>
      </w:r>
      <w:r>
        <w:rPr/>
        <w:t xml:space="preserve"> and holy is he who has part in the first resurrection: on such the second death has no power, but they shall be priests of God and of Christ, and shall reign with him a </w:t>
      </w:r>
      <w:r>
        <w:rPr>
          <w:b w:val="1"/>
          <w:bCs w:val="1"/>
        </w:rPr>
        <w:t xml:space="preserve">thousand years</w:t>
      </w:r>
      <w:r>
        <w:rPr/>
        <w:t xml:space="preserve"> </w:t>
      </w:r>
      <w:r>
        <w:rPr>
          <w:rStyle w:val="FootnoteReference"/>
        </w:rPr>
        <w:footnoteReference w:id="753"/>
      </w:r>
      <w:r>
        <w:rPr/>
        <w:t xml:space="preserve">.</w:t>
      </w:r>
    </w:p>
    <w:p>
      <w:pPr>
        <w:spacing w:after="150"/>
      </w:pPr>
      <w:r>
        <w:rPr/>
        <w:t xml:space="preserve"/>
      </w:r>
    </w:p>
    <w:p>
      <w:pPr>
        <w:pStyle w:val="Heading3"/>
      </w:pPr>
      <w:bookmarkStart w:id="120" w:name="_Toc120"/>
      <w:r>
        <w:t>1000 Year Ends and Satan Loosed From Bottomless Pit</w:t>
      </w:r>
      <w:bookmarkEnd w:id="120"/>
    </w:p>
    <w:p>
      <w:pPr>
        <w:pStyle w:val="SectionBody"/>
      </w:pPr>
      <w:r>
        <w:rPr>
          <w:b w:val="1"/>
          <w:bCs w:val="1"/>
        </w:rPr>
        <w:t xml:space="preserve">Important Note:</w:t>
      </w:r>
      <w:r>
        <w:rPr/>
        <w:t xml:space="preserve"> Here we see that Jerusalem, the beloved city, is still in existence, so it is not Mystery Babylon, as that city is never seen again.</w:t>
      </w:r>
    </w:p>
    <w:p>
      <w:pPr>
        <w:spacing w:after="150"/>
      </w:pPr>
      <w:r>
        <w:rPr/>
        <w:t xml:space="preserve"/>
      </w:r>
    </w:p>
    <w:p>
      <w:pPr>
        <w:pStyle w:val="BodyVerse"/>
      </w:pPr>
      <w:r>
        <w:rPr>
          <w:b w:val="1"/>
          <w:bCs w:val="1"/>
        </w:rPr>
        <w:t xml:space="preserve">[[@Bible:Re 20:7]] </w:t>
      </w:r>
      <w:r>
        <w:rPr>
          <w:sz w:val="22"/>
          <w:szCs w:val="22"/>
          <w:b w:val="1"/>
          <w:bCs w:val="1"/>
          <w:vertAlign w:val="superscript"/>
        </w:rPr>
        <w:t xml:space="preserve">7  </w:t>
      </w:r>
      <w:r>
        <w:rPr/>
        <w:t xml:space="preserve">And when the </w:t>
      </w:r>
      <w:r>
        <w:rPr>
          <w:b w:val="1"/>
          <w:bCs w:val="1"/>
        </w:rPr>
        <w:t xml:space="preserve">thousand years</w:t>
      </w:r>
      <w:r>
        <w:rPr/>
        <w:t xml:space="preserve"> </w:t>
      </w:r>
      <w:r>
        <w:rPr>
          <w:rStyle w:val="FootnoteReference"/>
        </w:rPr>
        <w:footnoteReference w:id="754"/>
      </w:r>
      <w:r>
        <w:rPr/>
        <w:t xml:space="preserve"> are expired, Satan shall be loosed out of his </w:t>
      </w:r>
      <w:r>
        <w:rPr>
          <w:b w:val="1"/>
          <w:bCs w:val="1"/>
        </w:rPr>
        <w:t xml:space="preserve">prison</w:t>
      </w:r>
      <w:r>
        <w:rPr/>
        <w:t xml:space="preserve"> </w:t>
      </w:r>
      <w:r>
        <w:rPr>
          <w:rStyle w:val="FootnoteReference"/>
        </w:rPr>
        <w:footnoteReference w:id="755"/>
      </w:r>
      <w:r>
        <w:rPr/>
        <w:t xml:space="preserve">.</w:t>
      </w:r>
    </w:p>
    <w:p>
      <w:pPr>
        <w:jc w:val="left"/>
        <w:ind w:left="360" w:right="0" w:firstLine="0" w:hanging="0"/>
        <w:spacing w:after="60"/>
      </w:pPr>
      <w:r>
        <w:rPr>
          <w:sz w:val="18"/>
          <w:szCs w:val="18"/>
          <w:i w:val="1"/>
          <w:iCs w:val="1"/>
        </w:rPr>
        <w:t xml:space="preserve">[fn] "Expired" points to a clear countdown of time, not an allegorical or idiomatic time.</w:t>
      </w:r>
    </w:p>
    <w:p>
      <w:pPr>
        <w:pStyle w:val="BodyVerse"/>
      </w:pPr>
      <w:r>
        <w:rPr>
          <w:b w:val="1"/>
          <w:bCs w:val="1"/>
        </w:rPr>
        <w:t xml:space="preserve">[[@Bible:Re 20:8]] </w:t>
      </w:r>
      <w:r>
        <w:rPr>
          <w:sz w:val="22"/>
          <w:szCs w:val="22"/>
          <w:b w:val="1"/>
          <w:bCs w:val="1"/>
          <w:vertAlign w:val="superscript"/>
        </w:rPr>
        <w:t xml:space="preserve">8  </w:t>
      </w:r>
      <w:r>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2"/>
          <w:szCs w:val="22"/>
          <w:b w:val="1"/>
          <w:bCs w:val="1"/>
          <w:vertAlign w:val="superscript"/>
        </w:rPr>
        <w:t xml:space="preserve">9  </w:t>
      </w:r>
      <w:r>
        <w:rPr/>
        <w:t xml:space="preserve">And they ascended on the breadth of the earth, and compassed the camp of the saints about, and </w:t>
      </w:r>
      <w:r>
        <w:rPr>
          <w:b w:val="1"/>
          <w:bCs w:val="1"/>
        </w:rPr>
        <w:t xml:space="preserve">the beloved city</w:t>
      </w:r>
      <w:r>
        <w:rPr/>
        <w:t xml:space="preserve"> </w:t>
      </w:r>
      <w:r>
        <w:rPr>
          <w:rStyle w:val="FootnoteReference"/>
        </w:rPr>
        <w:footnoteReference w:id="756"/>
      </w:r>
      <w:r>
        <w:rPr/>
        <w:t xml:space="preserve">: and fire came down from God out of heaven, and devoured them.</w:t>
      </w:r>
    </w:p>
    <w:p>
      <w:pPr>
        <w:jc w:val="left"/>
        <w:ind w:left="360" w:right="0" w:firstLine="0" w:hanging="0"/>
        <w:spacing w:after="60"/>
      </w:pPr>
      <w:r>
        <w:rPr>
          <w:sz w:val="18"/>
          <w:szCs w:val="18"/>
          <w:i w:val="1"/>
          <w:iCs w:val="1"/>
        </w:rPr>
        <w:t xml:space="preserve">[fn] If Mystery Babylon is Jerusalem, then how do we see this city, Jerusalem, still standing?</w:t>
      </w:r>
    </w:p>
    <w:p>
      <w:pPr>
        <w:jc w:val="left"/>
        <w:ind w:left="360" w:right="0" w:firstLine="0" w:hanging="0"/>
        <w:spacing w:after="60"/>
      </w:pPr>
      <w:r>
        <w:rPr>
          <w:sz w:val="18"/>
          <w:szCs w:val="18"/>
          <w:i w:val="1"/>
          <w:iCs w:val="1"/>
        </w:rPr>
        <w:t xml:space="preserve">[fn] The expression “the beloved city” occurs explicitly only in Revelation 20:9 (τὴν πόλιν τὴν ἠγαπημένην), yet the concept is rooted in the Old Testament portrayal of Zion/Jerusalem as the object of God’s מיוחדת love and delight (Ps 78:68; 87:2; Isa 62:4), providing the canonical background for its identification.</w:t>
      </w:r>
    </w:p>
    <w:p>
      <w:pPr>
        <w:pStyle w:val="BodyVerse"/>
      </w:pPr>
      <w:r>
        <w:rPr>
          <w:b w:val="1"/>
          <w:bCs w:val="1"/>
        </w:rPr>
        <w:t xml:space="preserve">[[@Bible:Re 20:10]] </w:t>
      </w:r>
      <w:r>
        <w:rPr>
          <w:sz w:val="22"/>
          <w:szCs w:val="22"/>
          <w:b w:val="1"/>
          <w:bCs w:val="1"/>
          <w:vertAlign w:val="superscript"/>
        </w:rPr>
        <w:t xml:space="preserve">10  </w:t>
      </w:r>
      <w:r>
        <w:rPr/>
        <w:t xml:space="preserve">And the devil who deceived them was cast into the </w:t>
      </w:r>
      <w:r>
        <w:rPr>
          <w:b w:val="1"/>
          <w:bCs w:val="1"/>
        </w:rPr>
        <w:t xml:space="preserve">lake of fire</w:t>
      </w:r>
      <w:r>
        <w:rPr/>
        <w:t xml:space="preserve"> </w:t>
      </w:r>
      <w:r>
        <w:rPr>
          <w:rStyle w:val="FootnoteReference"/>
        </w:rPr>
        <w:footnoteReference w:id="757"/>
      </w:r>
      <w:r>
        <w:rPr/>
        <w:t xml:space="preserve"> and brimstone, where the beast and the false prophet are, and shall be tormented day and night forever and ever.</w:t>
      </w:r>
    </w:p>
    <w:p>
      <w:pPr>
        <w:jc w:val="left"/>
        <w:ind w:left="360" w:right="0" w:firstLine="0" w:hanging="0"/>
        <w:spacing w:after="60"/>
      </w:pPr>
      <w:r>
        <w:rPr>
          <w:sz w:val="18"/>
          <w:szCs w:val="18"/>
          <w:i w:val="1"/>
          <w:iCs w:val="1"/>
        </w:rPr>
        <w:t xml:space="preserve">[fn] Perdition.</w:t>
      </w:r>
    </w:p>
    <w:p>
      <w:pPr>
        <w:spacing w:after="150"/>
      </w:pPr>
      <w:r>
        <w:rPr/>
        <w:t xml:space="preserve"/>
      </w:r>
    </w:p>
    <w:p>
      <w:pPr>
        <w:pStyle w:val="Heading3"/>
      </w:pPr>
      <w:bookmarkStart w:id="121" w:name="_Toc121"/>
      <w:r>
        <w:t>White Throne</w:t>
      </w:r>
      <w:bookmarkEnd w:id="121"/>
    </w:p>
    <w:p>
      <w:pPr>
        <w:pStyle w:val="BodyVerse"/>
      </w:pPr>
      <w:r>
        <w:rPr>
          <w:b w:val="1"/>
          <w:bCs w:val="1"/>
        </w:rPr>
        <w:t xml:space="preserve">[[@Bible:Re 20:11]] </w:t>
      </w:r>
      <w:r>
        <w:rPr>
          <w:sz w:val="22"/>
          <w:szCs w:val="22"/>
          <w:b w:val="1"/>
          <w:bCs w:val="1"/>
          <w:vertAlign w:val="superscript"/>
        </w:rPr>
        <w:t xml:space="preserve">11  </w:t>
      </w:r>
      <w:r>
        <w:rPr/>
        <w:t xml:space="preserve">And I saw </w:t>
      </w:r>
      <w:r>
        <w:rPr>
          <w:b w:val="1"/>
          <w:bCs w:val="1"/>
        </w:rPr>
        <w:t xml:space="preserve">a great white throne, and him that sat on it, from whose face the earth and the heaven fled away; and there was found no place for them</w:t>
      </w:r>
      <w:r>
        <w:rPr>
          <w:rStyle w:val="FootnoteReference"/>
        </w:rPr>
        <w:footnoteReference w:id="758"/>
      </w:r>
      <w:r>
        <w:rPr/>
        <w:t xml:space="preserve">.</w:t>
      </w:r>
    </w:p>
    <w:p>
      <w:pPr>
        <w:pStyle w:val="BodyVerse"/>
      </w:pPr>
      <w:r>
        <w:rPr>
          <w:b w:val="1"/>
          <w:bCs w:val="1"/>
        </w:rPr>
        <w:t xml:space="preserve">[[@Bible:Re 20:12]] </w:t>
      </w:r>
      <w:r>
        <w:rPr>
          <w:sz w:val="22"/>
          <w:szCs w:val="22"/>
          <w:b w:val="1"/>
          <w:bCs w:val="1"/>
          <w:vertAlign w:val="superscript"/>
        </w:rPr>
        <w:t xml:space="preserve">12  </w:t>
      </w:r>
      <w:r>
        <w:rPr/>
        <w:t xml:space="preserve">And I saw the dead, small and great, stand before the throne; and the books were opened: and another book was opened, which is the </w:t>
      </w:r>
      <w:r>
        <w:rPr>
          <w:b w:val="1"/>
          <w:bCs w:val="1"/>
        </w:rPr>
        <w:t xml:space="preserve">book of life</w:t>
      </w:r>
      <w:r>
        <w:rPr/>
        <w:t xml:space="preserve"> </w:t>
      </w:r>
      <w:r>
        <w:rPr>
          <w:rStyle w:val="FootnoteReference"/>
        </w:rPr>
        <w:footnoteReference w:id="759"/>
      </w:r>
      <w:r>
        <w:rPr/>
        <w:t xml:space="preserve">: and the </w:t>
      </w:r>
      <w:r>
        <w:rPr>
          <w:b w:val="1"/>
          <w:bCs w:val="1"/>
        </w:rPr>
        <w:t xml:space="preserve">dead were judged out of those things which were written in the books, according to their works</w:t>
      </w:r>
      <w:r>
        <w:rPr/>
        <w:t xml:space="preserve"> </w:t>
      </w:r>
      <w:r>
        <w:rPr>
          <w:rStyle w:val="FootnoteReference"/>
        </w:rPr>
        <w:footnoteReference w:id="760"/>
      </w:r>
      <w:r>
        <w:rPr/>
        <w:t xml:space="preserve">.</w:t>
      </w:r>
    </w:p>
    <w:p>
      <w:pPr>
        <w:jc w:val="left"/>
        <w:ind w:left="360" w:right="0" w:firstLine="0" w:hanging="0"/>
        <w:spacing w:after="60"/>
      </w:pPr>
      <w:r>
        <w:rPr>
          <w:sz w:val="18"/>
          <w:szCs w:val="18"/>
          <w:i w:val="1"/>
          <w:iCs w:val="1"/>
        </w:rPr>
        <w:t xml:space="preserve">[fn] Here it says "the dead stand". This is a way of saying, the dead are resurrected. That is, this is the next resurrection after the first in the context of this portion of the book of Revelation. Also, the demonstrates a Revelation is not always explicit about how it describes a resurrection. This leaves room for an interpretation of 12:11 as a possible resurrection, given its phrasing of the dead in the passage as those who "overcome".</w:t>
      </w:r>
    </w:p>
    <w:p>
      <w:pPr>
        <w:pStyle w:val="BodyVerse"/>
      </w:pPr>
      <w:r>
        <w:rPr>
          <w:b w:val="1"/>
          <w:bCs w:val="1"/>
        </w:rPr>
        <w:t xml:space="preserve">[[@Bible:Re 20:13]] </w:t>
      </w:r>
      <w:r>
        <w:rPr>
          <w:sz w:val="22"/>
          <w:szCs w:val="22"/>
          <w:b w:val="1"/>
          <w:bCs w:val="1"/>
          <w:vertAlign w:val="superscript"/>
        </w:rPr>
        <w:t xml:space="preserve">13  </w:t>
      </w:r>
      <w:r>
        <w:rPr/>
        <w:t xml:space="preserve">And the sea gave up the dead who were in it; and </w:t>
      </w:r>
      <w:r>
        <w:rPr>
          <w:b w:val="1"/>
          <w:bCs w:val="1"/>
        </w:rPr>
        <w:t xml:space="preserve">death and hell</w:t>
      </w:r>
      <w:r>
        <w:rPr/>
        <w:t xml:space="preserve"> </w:t>
      </w:r>
      <w:r>
        <w:rPr>
          <w:rStyle w:val="FootnoteReference"/>
        </w:rPr>
        <w:footnoteReference w:id="761"/>
      </w:r>
      <w:r>
        <w:rPr/>
        <w:t xml:space="preserve"> delivered up the dead who were in them: and they were judged every man according to their </w:t>
      </w:r>
      <w:r>
        <w:rPr>
          <w:b w:val="1"/>
          <w:bCs w:val="1"/>
        </w:rPr>
        <w:t xml:space="preserve">works</w:t>
      </w:r>
      <w:r>
        <w:rPr/>
        <w:t xml:space="preserve"> </w:t>
      </w:r>
      <w:r>
        <w:rPr>
          <w:rStyle w:val="FootnoteReference"/>
        </w:rPr>
        <w:footnoteReference w:id="762"/>
      </w:r>
      <w:r>
        <w:rPr/>
        <w:t xml:space="preserve">.</w:t>
      </w:r>
    </w:p>
    <w:p>
      <w:pPr>
        <w:spacing w:after="150"/>
      </w:pPr>
      <w:r>
        <w:rPr/>
        <w:t xml:space="preserve"/>
      </w:r>
    </w:p>
    <w:p>
      <w:pPr>
        <w:pStyle w:val="Heading3"/>
      </w:pPr>
      <w:bookmarkStart w:id="122" w:name="_Toc122"/>
      <w:r>
        <w:t>Second Death</w:t>
      </w:r>
      <w:bookmarkEnd w:id="122"/>
    </w:p>
    <w:p>
      <w:pPr>
        <w:pStyle w:val="BodyVerse"/>
      </w:pPr>
      <w:r>
        <w:rPr>
          <w:b w:val="1"/>
          <w:bCs w:val="1"/>
        </w:rPr>
        <w:t xml:space="preserve">[[@Bible:Re 20:14]] </w:t>
      </w:r>
      <w:r>
        <w:rPr>
          <w:sz w:val="22"/>
          <w:szCs w:val="22"/>
          <w:b w:val="1"/>
          <w:bCs w:val="1"/>
          <w:vertAlign w:val="superscript"/>
        </w:rPr>
        <w:t xml:space="preserve">14  </w:t>
      </w:r>
      <w:r>
        <w:rPr/>
        <w:t xml:space="preserve">And </w:t>
      </w:r>
      <w:r>
        <w:rPr>
          <w:b w:val="1"/>
          <w:bCs w:val="1"/>
        </w:rPr>
        <w:t xml:space="preserve">death and hell</w:t>
      </w:r>
      <w:r>
        <w:rPr/>
        <w:t xml:space="preserve"> </w:t>
      </w:r>
      <w:r>
        <w:rPr>
          <w:rStyle w:val="FootnoteReference"/>
        </w:rPr>
        <w:footnoteReference w:id="763"/>
      </w:r>
      <w:r>
        <w:rPr/>
        <w:t xml:space="preserve"> were cast into the </w:t>
      </w:r>
      <w:r>
        <w:rPr>
          <w:b w:val="1"/>
          <w:bCs w:val="1"/>
        </w:rPr>
        <w:t xml:space="preserve">lake of fire</w:t>
      </w:r>
      <w:r>
        <w:rPr/>
        <w:t xml:space="preserve"> </w:t>
      </w:r>
      <w:r>
        <w:rPr>
          <w:rStyle w:val="FootnoteReference"/>
        </w:rPr>
        <w:footnoteReference w:id="764"/>
      </w:r>
      <w:r>
        <w:rPr/>
        <w:t xml:space="preserve">. This is the second death, the lake of fire.</w:t>
      </w:r>
    </w:p>
    <w:p>
      <w:pPr>
        <w:pStyle w:val="BodyVerse"/>
      </w:pPr>
      <w:r>
        <w:rPr>
          <w:b w:val="1"/>
          <w:bCs w:val="1"/>
        </w:rPr>
        <w:t xml:space="preserve">[[@Bible:Re 20:15]] </w:t>
      </w:r>
      <w:r>
        <w:rPr>
          <w:sz w:val="22"/>
          <w:szCs w:val="22"/>
          <w:b w:val="1"/>
          <w:bCs w:val="1"/>
          <w:vertAlign w:val="superscript"/>
        </w:rPr>
        <w:t xml:space="preserve">15  </w:t>
      </w:r>
      <w:r>
        <w:rPr/>
        <w:t xml:space="preserve">And whosoever was not found written in the </w:t>
      </w:r>
      <w:r>
        <w:rPr>
          <w:b w:val="1"/>
          <w:bCs w:val="1"/>
        </w:rPr>
        <w:t xml:space="preserve">book of life</w:t>
      </w:r>
      <w:r>
        <w:rPr/>
        <w:t xml:space="preserve"> </w:t>
      </w:r>
      <w:r>
        <w:rPr>
          <w:rStyle w:val="FootnoteReference"/>
        </w:rPr>
        <w:footnoteReference w:id="765"/>
      </w:r>
      <w:r>
        <w:rPr/>
        <w:t xml:space="preserve"> was cast into </w:t>
      </w:r>
      <w:r>
        <w:rPr>
          <w:rStyle w:val="FootnoteReference"/>
        </w:rPr>
        <w:footnoteReference w:id="766"/>
      </w:r>
      <w:r>
        <w:rPr/>
        <w:t xml:space="preserve"> the </w:t>
      </w:r>
      <w:r>
        <w:rPr>
          <w:b w:val="1"/>
          <w:bCs w:val="1"/>
        </w:rPr>
        <w:t xml:space="preserve">lake of fire</w:t>
      </w:r>
      <w:r>
        <w:rPr/>
        <w:t xml:space="preserve"> </w:t>
      </w:r>
      <w:r>
        <w:rPr>
          <w:rStyle w:val="FootnoteReference"/>
        </w:rPr>
        <w:footnoteReference w:id="767"/>
      </w:r>
      <w:r>
        <w:rPr/>
        <w:t xml:space="preserve">.</w:t>
      </w:r>
    </w:p>
    <w:p>
      <w:pPr>
        <w:spacing w:after="150"/>
      </w:pPr>
      <w:r>
        <w:rPr/>
        <w:t xml:space="preserve"/>
      </w:r>
    </w:p>
    <w:p>
      <w:pPr>
        <w:pStyle w:val="Heading3"/>
      </w:pPr>
      <w:bookmarkStart w:id="123" w:name="_Toc123"/>
      <w:r>
        <w:t>The New Heaven and Earth</w:t>
      </w:r>
      <w:bookmarkEnd w:id="123"/>
    </w:p>
    <w:p>
      <w:pPr>
        <w:pStyle w:val="BodyVerse"/>
      </w:pPr>
      <w:r>
        <w:rPr>
          <w:b w:val="1"/>
          <w:bCs w:val="1"/>
        </w:rPr>
        <w:t xml:space="preserve">[[@Bible:Re 21:1]] </w:t>
      </w:r>
      <w:r>
        <w:rPr>
          <w:sz w:val="22"/>
          <w:szCs w:val="22"/>
          <w:b w:val="1"/>
          <w:bCs w:val="1"/>
          <w:vertAlign w:val="superscript"/>
        </w:rPr>
        <w:t xml:space="preserve">1  </w:t>
      </w:r>
      <w:r>
        <w:rPr/>
        <w:t xml:space="preserve">And I saw a new heaven and a new earth: for the first heaven and the first earth were passed away; and the sea was no more.</w:t>
      </w:r>
    </w:p>
    <w:p>
      <w:pPr>
        <w:jc w:val="left"/>
        <w:ind w:left="360" w:right="0" w:firstLine="0" w:hanging="0"/>
        <w:spacing w:after="60"/>
      </w:pPr>
      <w:r>
        <w:rPr>
          <w:sz w:val="18"/>
          <w:szCs w:val="18"/>
          <w:i w:val="1"/>
          <w:iCs w:val="1"/>
        </w:rPr>
        <w:t xml:space="preserve">[fn] Heaven, earth, and sea of the old creation are gone now. Like in Revelation 10, here we see heaven, earth, and sea as a statement of all creation. So here, a new creation is on the way as this text points to all creation being removed.</w:t>
      </w:r>
    </w:p>
    <w:p>
      <w:pPr>
        <w:pStyle w:val="BodyVerse"/>
      </w:pPr>
      <w:r>
        <w:rPr>
          <w:b w:val="1"/>
          <w:bCs w:val="1"/>
        </w:rPr>
        <w:t xml:space="preserve">[[@Bible:Re 21:2]] </w:t>
      </w:r>
      <w:r>
        <w:rPr>
          <w:sz w:val="22"/>
          <w:szCs w:val="22"/>
          <w:b w:val="1"/>
          <w:bCs w:val="1"/>
          <w:vertAlign w:val="superscript"/>
        </w:rPr>
        <w:t xml:space="preserve">2  </w:t>
      </w:r>
      <w:r>
        <w:rPr/>
        <w:t xml:space="preserve">And I</w:t>
      </w:r>
      <w:r>
        <w:rPr/>
        <w:t xml:space="preserve"> saw </w:t>
      </w:r>
      <w:r>
        <w:rPr>
          <w:b w:val="1"/>
          <w:bCs w:val="1"/>
        </w:rPr>
        <w:t xml:space="preserve">the holy city</w:t>
      </w:r>
      <w:r>
        <w:rPr/>
        <w:t xml:space="preserve"> </w:t>
      </w:r>
      <w:r>
        <w:rPr>
          <w:rStyle w:val="FootnoteReference"/>
        </w:rPr>
        <w:footnoteReference w:id="768"/>
      </w:r>
      <w:r>
        <w:rPr/>
        <w:t xml:space="preserve">, new Jerusalem, coming down from God out of heaven, made ready as a </w:t>
      </w:r>
      <w:r>
        <w:rPr>
          <w:b w:val="1"/>
          <w:bCs w:val="1"/>
        </w:rPr>
        <w:t xml:space="preserve">bride adorned for her husband</w:t>
      </w:r>
      <w:r>
        <w:rPr/>
        <w:t xml:space="preserve"> </w:t>
      </w:r>
      <w:r>
        <w:rPr>
          <w:rStyle w:val="FootnoteReference"/>
        </w:rPr>
        <w:footnoteReference w:id="769"/>
      </w:r>
      <w:r>
        <w:rPr/>
        <w:t xml:space="preserve">.</w:t>
      </w:r>
    </w:p>
    <w:p>
      <w:pPr>
        <w:spacing w:after="150"/>
      </w:pPr>
      <w:r>
        <w:rPr/>
        <w:t xml:space="preserve"/>
      </w:r>
    </w:p>
    <w:p>
      <w:pPr>
        <w:pStyle w:val="Heading3"/>
      </w:pPr>
      <w:bookmarkStart w:id="124" w:name="_Toc124"/>
      <w:r>
        <w:t>All Things Made New</w:t>
      </w:r>
      <w:bookmarkEnd w:id="124"/>
    </w:p>
    <w:p>
      <w:pPr>
        <w:pStyle w:val="BodyVerse"/>
      </w:pPr>
      <w:r>
        <w:rPr>
          <w:b w:val="1"/>
          <w:bCs w:val="1"/>
        </w:rPr>
        <w:t xml:space="preserve">[[@Bible:Re 21:3]] </w:t>
      </w:r>
      <w:r>
        <w:rPr>
          <w:sz w:val="22"/>
          <w:szCs w:val="22"/>
          <w:b w:val="1"/>
          <w:bCs w:val="1"/>
          <w:vertAlign w:val="superscript"/>
        </w:rPr>
        <w:t xml:space="preserve">3  </w:t>
      </w:r>
      <w:r>
        <w:rPr/>
        <w:t xml:space="preserve">And I heard a great </w:t>
      </w:r>
      <w:r>
        <w:rPr>
          <w:b w:val="1"/>
          <w:bCs w:val="1"/>
        </w:rPr>
        <w:t xml:space="preserve">voice from the throne</w:t>
      </w:r>
      <w:r>
        <w:rPr/>
        <w:t xml:space="preserve"> </w:t>
      </w:r>
      <w:r>
        <w:rPr>
          <w:rStyle w:val="FootnoteReference"/>
        </w:rPr>
        <w:footnoteReference w:id="770"/>
      </w:r>
      <w:r>
        <w:rPr/>
        <w:t xml:space="preserve"> saying, Behold, </w:t>
      </w:r>
      <w:r>
        <w:rPr>
          <w:b w:val="1"/>
          <w:bCs w:val="1"/>
        </w:rPr>
        <w:t xml:space="preserve">the tabernacle of God</w:t>
      </w:r>
      <w:r>
        <w:rPr/>
        <w:t xml:space="preserve"> </w:t>
      </w:r>
      <w:r>
        <w:rPr>
          <w:rStyle w:val="FootnoteReference"/>
        </w:rPr>
        <w:footnoteReference w:id="771"/>
      </w:r>
      <w:r>
        <w:rPr/>
        <w:t xml:space="preserve"> is with men, and he will dwell with them, and they shall be his people, and God himself shall be with them, and be their God.</w:t>
      </w:r>
    </w:p>
    <w:p>
      <w:pPr>
        <w:pStyle w:val="BodyVerse"/>
      </w:pPr>
      <w:r>
        <w:rPr>
          <w:b w:val="1"/>
          <w:bCs w:val="1"/>
        </w:rPr>
        <w:t xml:space="preserve">[[@Bible:Re 21:4]] </w:t>
      </w:r>
      <w:r>
        <w:rPr>
          <w:sz w:val="22"/>
          <w:szCs w:val="22"/>
          <w:b w:val="1"/>
          <w:bCs w:val="1"/>
          <w:vertAlign w:val="superscript"/>
        </w:rPr>
        <w:t xml:space="preserve">4  </w:t>
      </w:r>
      <w:r>
        <w:rPr/>
        <w:t xml:space="preserve">And God shall wipe away all </w:t>
      </w:r>
      <w:r>
        <w:rPr>
          <w:b w:val="1"/>
          <w:bCs w:val="1"/>
        </w:rPr>
        <w:t xml:space="preserve">tears from their eyes</w:t>
      </w:r>
      <w:r>
        <w:rPr/>
        <w:t xml:space="preserve"> </w:t>
      </w:r>
      <w:r>
        <w:rPr>
          <w:rStyle w:val="FootnoteReference"/>
        </w:rPr>
        <w:footnoteReference w:id="772"/>
      </w:r>
      <w:r>
        <w:rPr/>
        <w:t xml:space="preserve">; and there shall be death no more, neither sorrow, nor crying, neither shall there be any more pain: for the former things are passed away.</w:t>
      </w:r>
    </w:p>
    <w:p>
      <w:pPr>
        <w:pStyle w:val="BodyVerse"/>
      </w:pPr>
      <w:r>
        <w:rPr>
          <w:b w:val="1"/>
          <w:bCs w:val="1"/>
        </w:rPr>
        <w:t xml:space="preserve">[[@Bible:Re 21:5]] </w:t>
      </w:r>
      <w:r>
        <w:rPr>
          <w:sz w:val="22"/>
          <w:szCs w:val="22"/>
          <w:b w:val="1"/>
          <w:bCs w:val="1"/>
          <w:vertAlign w:val="superscript"/>
        </w:rPr>
        <w:t xml:space="preserve">5  </w:t>
      </w:r>
      <w:r>
        <w:rPr/>
        <w:t xml:space="preserve">And he who sat upon the throne said, Behold, I make all things new. And he said unto me, </w:t>
      </w:r>
      <w:r>
        <w:rPr>
          <w:b w:val="1"/>
          <w:bCs w:val="1"/>
        </w:rPr>
        <w:t xml:space="preserve">Write</w:t>
      </w:r>
      <w:r>
        <w:rPr/>
        <w:t xml:space="preserve"> </w:t>
      </w:r>
      <w:r>
        <w:rPr>
          <w:rStyle w:val="FootnoteReference"/>
        </w:rPr>
        <w:footnoteReference w:id="773"/>
      </w:r>
      <w:r>
        <w:rPr/>
        <w:t xml:space="preserve">: for these words are true and faithful.</w:t>
      </w:r>
    </w:p>
    <w:p>
      <w:pPr>
        <w:jc w:val="left"/>
        <w:ind w:left="360" w:right="0" w:firstLine="0" w:hanging="0"/>
        <w:spacing w:after="60"/>
      </w:pPr>
      <w:r>
        <w:rPr>
          <w:sz w:val="18"/>
          <w:szCs w:val="18"/>
          <w:i w:val="1"/>
          <w:iCs w:val="1"/>
        </w:rPr>
        <w:t xml:space="preserve">[fn] When Revelation 21:1 declares, "a new heaven and a new earth," and 21:5 records Christ saying, "Behold, I make all things new", the language can function both literally and idiomatically. The phrase does not require us to flatten every occurrence of "new heavens and new earth" in Scripture into the same moment of fulfillment. In Isaiah 65:17, the Lord says, "For, behold, I create new heavens and a new earth," yet within that same context we read, "for the child shall die an hundred years old" (Isaiah 65:20). If Isaiah 65 were identical in scope to Revelation 21:1–5, a tension would arise, since Revelation explicitly states, "there shall be no more death" (Revelation 21:4). This suggests that in Isaiah the expression may function as covenantal renewal language — a decreation–recreation idiom describing radical restoration — while still ultimately pointing forward to its fullest and final realization. The idiom can point to a literal consummation without every immediate context requiring that consummation to be present in full. Just as "a thief in the night" is an idiom describing unexpected arrival while still referring to a real event, so "new heavens and new earth" may describe profound renewal in Isaiah's prophetic horizon while Revelation 21 reveals the ultimate, deathless fulfillment of that promise. In this way, Scripture maintains theological consistency without forcing two distinct prophetic contexts into one identical timeframe.</w:t>
      </w:r>
    </w:p>
    <w:p>
      <w:pPr>
        <w:pStyle w:val="BodyVerse"/>
      </w:pPr>
      <w:r>
        <w:rPr>
          <w:b w:val="1"/>
          <w:bCs w:val="1"/>
        </w:rPr>
        <w:t xml:space="preserve">[[@Bible:Re 21:6]] </w:t>
      </w:r>
      <w:r>
        <w:rPr>
          <w:sz w:val="22"/>
          <w:szCs w:val="22"/>
          <w:b w:val="1"/>
          <w:bCs w:val="1"/>
          <w:vertAlign w:val="superscript"/>
        </w:rPr>
        <w:t xml:space="preserve">6  </w:t>
      </w:r>
      <w:r>
        <w:rPr/>
        <w:t xml:space="preserve">And he said unto me, </w:t>
      </w:r>
      <w:r>
        <w:rPr>
          <w:b w:val="1"/>
          <w:bCs w:val="1"/>
        </w:rPr>
        <w:t xml:space="preserve">It is done</w:t>
      </w:r>
      <w:r>
        <w:rPr/>
        <w:t xml:space="preserve"> </w:t>
      </w:r>
      <w:r>
        <w:rPr>
          <w:rStyle w:val="FootnoteReference"/>
        </w:rPr>
        <w:footnoteReference w:id="774"/>
      </w:r>
      <w:r>
        <w:rPr/>
        <w:t xml:space="preserve">. I am </w:t>
      </w:r>
      <w:r>
        <w:rPr>
          <w:b w:val="1"/>
          <w:bCs w:val="1"/>
        </w:rPr>
        <w:t xml:space="preserve">Alpha and Omega, the beginning and the end</w:t>
      </w:r>
      <w:r>
        <w:rPr/>
        <w:t xml:space="preserve"> </w:t>
      </w:r>
      <w:r>
        <w:rPr>
          <w:rStyle w:val="FootnoteReference"/>
        </w:rPr>
        <w:footnoteReference w:id="775"/>
      </w:r>
      <w:r>
        <w:rPr/>
        <w:t xml:space="preserve">. I will give unto him that is </w:t>
      </w:r>
      <w:r>
        <w:rPr>
          <w:b w:val="1"/>
          <w:bCs w:val="1"/>
        </w:rPr>
        <w:t xml:space="preserve">athirst</w:t>
      </w:r>
      <w:r>
        <w:rPr/>
        <w:t xml:space="preserve"> </w:t>
      </w:r>
      <w:r>
        <w:rPr>
          <w:rStyle w:val="FootnoteReference"/>
        </w:rPr>
        <w:footnoteReference w:id="776"/>
      </w:r>
      <w:r>
        <w:rPr/>
        <w:t xml:space="preserve"> of the fountain of the </w:t>
      </w:r>
      <w:r>
        <w:rPr>
          <w:b w:val="1"/>
          <w:bCs w:val="1"/>
        </w:rPr>
        <w:t xml:space="preserve">water of life</w:t>
      </w:r>
      <w:r>
        <w:rPr/>
        <w:t xml:space="preserve"> </w:t>
      </w:r>
      <w:r>
        <w:rPr>
          <w:rStyle w:val="FootnoteReference"/>
        </w:rPr>
        <w:footnoteReference w:id="777"/>
      </w:r>
      <w:r>
        <w:rPr/>
        <w:t xml:space="preserve"> freely.</w:t>
      </w:r>
    </w:p>
    <w:p>
      <w:pPr>
        <w:pStyle w:val="BodyVerse"/>
      </w:pPr>
      <w:r>
        <w:rPr>
          <w:b w:val="1"/>
          <w:bCs w:val="1"/>
        </w:rPr>
        <w:t xml:space="preserve">[[@Bible:Re 21:7]] </w:t>
      </w:r>
      <w:r>
        <w:rPr>
          <w:sz w:val="22"/>
          <w:szCs w:val="22"/>
          <w:b w:val="1"/>
          <w:bCs w:val="1"/>
          <w:vertAlign w:val="superscript"/>
        </w:rPr>
        <w:t xml:space="preserve">7  </w:t>
      </w:r>
      <w:r>
        <w:rPr/>
        <w:t xml:space="preserve">He who </w:t>
      </w:r>
      <w:r>
        <w:rPr>
          <w:b w:val="1"/>
          <w:bCs w:val="1"/>
        </w:rPr>
        <w:t xml:space="preserve">overcomes</w:t>
      </w:r>
      <w:r>
        <w:rPr/>
        <w:t xml:space="preserve"> </w:t>
      </w:r>
      <w:r>
        <w:rPr>
          <w:rStyle w:val="FootnoteReference"/>
        </w:rPr>
        <w:footnoteReference w:id="778"/>
      </w:r>
      <w:r>
        <w:rPr/>
        <w:t xml:space="preserve"> this shall be his heritage; and I will be his God, and he shall be my son.</w:t>
      </w:r>
    </w:p>
    <w:p>
      <w:pPr>
        <w:pStyle w:val="BodyVerse"/>
      </w:pPr>
      <w:r>
        <w:rPr>
          <w:b w:val="1"/>
          <w:bCs w:val="1"/>
        </w:rPr>
        <w:t xml:space="preserve">[[@Bible:Re 21:8]] </w:t>
      </w:r>
      <w:r>
        <w:rPr>
          <w:sz w:val="22"/>
          <w:szCs w:val="22"/>
          <w:b w:val="1"/>
          <w:bCs w:val="1"/>
          <w:vertAlign w:val="superscript"/>
        </w:rPr>
        <w:t xml:space="preserve">8  </w:t>
      </w:r>
      <w:r>
        <w:rPr/>
        <w:t xml:space="preserve">But </w:t>
      </w:r>
      <w:r>
        <w:rPr>
          <w:b w:val="1"/>
          <w:bCs w:val="1"/>
        </w:rPr>
        <w:t xml:space="preserve">the cowardly, and unbelieving, and the abominable, and murderers, and whoremongers, and sorcerers, and idolaters, and all liars</w:t>
      </w:r>
      <w:r>
        <w:rPr/>
        <w:t xml:space="preserve"> </w:t>
      </w:r>
      <w:r>
        <w:rPr>
          <w:rStyle w:val="FootnoteReference"/>
        </w:rPr>
        <w:footnoteReference w:id="779"/>
      </w:r>
      <w:r>
        <w:rPr/>
        <w:t xml:space="preserve">, shall have their part in the lake which burns with </w:t>
      </w:r>
      <w:r>
        <w:rPr>
          <w:b w:val="1"/>
          <w:bCs w:val="1"/>
        </w:rPr>
        <w:t xml:space="preserve">fire and brimstone</w:t>
      </w:r>
      <w:r>
        <w:rPr/>
        <w:t xml:space="preserve"> </w:t>
      </w:r>
      <w:r>
        <w:rPr>
          <w:rStyle w:val="FootnoteReference"/>
        </w:rPr>
        <w:footnoteReference w:id="780"/>
      </w:r>
      <w:r>
        <w:rPr/>
        <w:t xml:space="preserve"> </w:t>
      </w:r>
      <w:r>
        <w:rPr>
          <w:rStyle w:val="FootnoteReference"/>
        </w:rPr>
        <w:footnoteReference w:id="781"/>
      </w:r>
      <w:r>
        <w:rPr/>
        <w:t xml:space="preserve">: which is the second death.</w:t>
      </w:r>
    </w:p>
    <w:p>
      <w:pPr>
        <w:jc w:val="center"/>
        <w:spacing w:before="120" w:after="60"/>
      </w:pPr>
      <w:r>
        <w:rPr>
          <w:sz w:val="36"/>
          <w:szCs w:val="36"/>
          <w:b w:val="1"/>
          <w:bCs w:val="1"/>
        </w:rPr>
        <w:t xml:space="preserve">✶</w:t>
      </w:r>
    </w:p>
    <w:p>
      <w:pPr>
        <w:pStyle w:val="Heading2"/>
      </w:pPr>
      <w:bookmarkStart w:id="125" w:name="_Toc125"/>
      <w:r>
        <w:t>The Bride</w:t>
      </w:r>
      <w:bookmarkEnd w:id="125"/>
    </w:p>
    <w:p>
      <w:pPr>
        <w:pStyle w:val="SectionBody"/>
      </w:pPr>
      <w:r>
        <w:rPr>
          <w:b w:val="1"/>
          <w:bCs w:val="1"/>
        </w:rPr>
        <w:t xml:space="preserve">Parenthetical Scenes 7:</w:t>
      </w:r>
      <w:r>
        <w:rPr/>
        <w:t xml:space="preserve"> We know that the Bride of the Lamb represents the people of the Church. Because Revelation is rich in symbolism, the phrase "I will shew thee the bride, the Lamb's wife" reveals that the city itself is a symbol of the Bride. Just as the seven-headed beast is identified as symbolic, so too is this city. Yet the image can be both literal and symbolic at once. Just as Jonah's three days in the great fish were a literal event that also carried prophetic meaning (Matthew 12:40), so too the New Jerusalem may be both a real city and a living picture of the Bride. Revelation 21:2 and 21:9 show this parallel clearly: first, the city is described "as a bride adorned for her husband," then the Bride is revealed, "as a city." The two mirror one another—one and the same. Christ is not betrothed to walls and streets, but to a people who themselves form the very structure of that holy city, living stones joined together for His dwelling. Thus, to speak of the city is to speak of the Bride herself. A city is no city without people.</w:t>
      </w:r>
    </w:p>
    <w:p>
      <w:pPr>
        <w:spacing w:after="150"/>
      </w:pPr>
      <w:r>
        <w:rPr/>
        <w:t xml:space="preserve"/>
      </w:r>
    </w:p>
    <w:p>
      <w:pPr>
        <w:pStyle w:val="BodyVerse"/>
      </w:pPr>
      <w:r>
        <w:rPr>
          <w:b w:val="1"/>
          <w:bCs w:val="1"/>
        </w:rPr>
        <w:t xml:space="preserve">[[@Bible:Re 21:9]] </w:t>
      </w:r>
      <w:r>
        <w:rPr>
          <w:sz w:val="22"/>
          <w:szCs w:val="22"/>
          <w:b w:val="1"/>
          <w:bCs w:val="1"/>
          <w:vertAlign w:val="superscript"/>
        </w:rPr>
        <w:t xml:space="preserve">9  </w:t>
      </w:r>
      <w:r>
        <w:rPr/>
        <w:t xml:space="preserve">And there came unto me one of the seven messengers who had the seven vials full of the seven last plagues, and talked with me, saying, </w:t>
      </w:r>
      <w:r>
        <w:rPr>
          <w:b w:val="1"/>
          <w:bCs w:val="1"/>
        </w:rPr>
        <w:t xml:space="preserve">Come on</w:t>
      </w:r>
      <w:r>
        <w:rPr/>
        <w:t xml:space="preserve"> </w:t>
      </w:r>
      <w:r>
        <w:rPr>
          <w:rStyle w:val="FootnoteReference"/>
        </w:rPr>
        <w:footnoteReference w:id="782"/>
      </w:r>
      <w:r>
        <w:rPr/>
        <w:t xml:space="preserve">, I will show you the </w:t>
      </w:r>
      <w:r>
        <w:rPr>
          <w:b w:val="1"/>
          <w:bCs w:val="1"/>
        </w:rPr>
        <w:t xml:space="preserve">bride, the wife of the Lamb</w:t>
      </w:r>
      <w:r>
        <w:rPr/>
        <w:t xml:space="preserve"> </w:t>
      </w:r>
      <w:r>
        <w:rPr>
          <w:rStyle w:val="FootnoteReference"/>
        </w:rPr>
        <w:footnoteReference w:id="783"/>
      </w:r>
      <w:r>
        <w:rPr/>
        <w:t xml:space="preserve">.</w:t>
      </w:r>
    </w:p>
    <w:p>
      <w:pPr>
        <w:spacing w:after="150"/>
      </w:pPr>
      <w:r>
        <w:rPr/>
        <w:t xml:space="preserve"/>
      </w:r>
    </w:p>
    <w:p>
      <w:pPr>
        <w:pStyle w:val="Heading3"/>
      </w:pPr>
      <w:bookmarkStart w:id="126" w:name="_Toc126"/>
      <w:r>
        <w:t>The New Jerusalem</w:t>
      </w:r>
      <w:bookmarkEnd w:id="126"/>
    </w:p>
    <w:p>
      <w:pPr>
        <w:pStyle w:val="BodyVerse"/>
      </w:pPr>
      <w:r>
        <w:rPr>
          <w:b w:val="1"/>
          <w:bCs w:val="1"/>
        </w:rPr>
        <w:t xml:space="preserve">[[@Bible:Re 21:10]] </w:t>
      </w:r>
      <w:r>
        <w:rPr>
          <w:sz w:val="22"/>
          <w:szCs w:val="22"/>
          <w:b w:val="1"/>
          <w:bCs w:val="1"/>
          <w:vertAlign w:val="superscript"/>
        </w:rPr>
        <w:t xml:space="preserve">10  </w:t>
      </w:r>
      <w:r>
        <w:rPr/>
        <w:t xml:space="preserve">And he carried me away in the spirit to a great and high </w:t>
      </w:r>
      <w:r>
        <w:rPr>
          <w:b w:val="1"/>
          <w:bCs w:val="1"/>
        </w:rPr>
        <w:t xml:space="preserve">mountain</w:t>
      </w:r>
      <w:r>
        <w:rPr/>
        <w:t xml:space="preserve"> </w:t>
      </w:r>
      <w:r>
        <w:rPr>
          <w:rStyle w:val="FootnoteReference"/>
        </w:rPr>
        <w:footnoteReference w:id="784"/>
      </w:r>
      <w:r>
        <w:rPr/>
        <w:t xml:space="preserve">, and showed me that</w:t>
      </w:r>
      <w:r>
        <w:rPr/>
        <w:t xml:space="preserve"> </w:t>
      </w:r>
      <w:r>
        <w:rPr>
          <w:b w:val="1"/>
          <w:bCs w:val="1"/>
        </w:rPr>
        <w:t xml:space="preserve">the holy city</w:t>
      </w:r>
      <w:r>
        <w:rPr/>
        <w:t xml:space="preserve"> </w:t>
      </w:r>
      <w:r>
        <w:rPr>
          <w:rStyle w:val="FootnoteReference"/>
        </w:rPr>
        <w:footnoteReference w:id="785"/>
      </w:r>
      <w:r>
        <w:rPr/>
        <w:t xml:space="preserve">, Jerusalem, descending out of heaven from God,</w:t>
      </w:r>
    </w:p>
    <w:p>
      <w:pPr>
        <w:pStyle w:val="BodyVerse"/>
      </w:pPr>
      <w:r>
        <w:rPr>
          <w:b w:val="1"/>
          <w:bCs w:val="1"/>
        </w:rPr>
        <w:t xml:space="preserve">[[@Bible:Re 21:11]] </w:t>
      </w:r>
      <w:r>
        <w:rPr>
          <w:sz w:val="22"/>
          <w:szCs w:val="22"/>
          <w:b w:val="1"/>
          <w:bCs w:val="1"/>
          <w:vertAlign w:val="superscript"/>
        </w:rPr>
        <w:t xml:space="preserve">11  </w:t>
      </w:r>
      <w:r>
        <w:rPr/>
        <w:t xml:space="preserve">Having the </w:t>
      </w:r>
      <w:r>
        <w:rPr>
          <w:b w:val="1"/>
          <w:bCs w:val="1"/>
        </w:rPr>
        <w:t xml:space="preserve">glory of God</w:t>
      </w:r>
      <w:r>
        <w:rPr/>
        <w:t xml:space="preserve"> </w:t>
      </w:r>
      <w:r>
        <w:rPr>
          <w:rStyle w:val="FootnoteReference"/>
        </w:rPr>
        <w:footnoteReference w:id="786"/>
      </w:r>
      <w:r>
        <w:rPr/>
        <w:t xml:space="preserve">: and her light was like unto a stone most precious, even like a jasper stone, clear as crystal;</w:t>
      </w:r>
    </w:p>
    <w:p>
      <w:pPr>
        <w:pStyle w:val="BodyVerse"/>
      </w:pPr>
      <w:r>
        <w:rPr>
          <w:b w:val="1"/>
          <w:bCs w:val="1"/>
        </w:rPr>
        <w:t xml:space="preserve">[[@Bible:Re 21:12]] </w:t>
      </w:r>
      <w:r>
        <w:rPr>
          <w:sz w:val="22"/>
          <w:szCs w:val="22"/>
          <w:b w:val="1"/>
          <w:bCs w:val="1"/>
          <w:vertAlign w:val="superscript"/>
        </w:rPr>
        <w:t xml:space="preserve">12  </w:t>
      </w:r>
      <w:r>
        <w:rPr/>
        <w:t xml:space="preserve">And had a wall great and high, and had twelve gates, and at the gates twelve messengers, and names written on them, </w:t>
      </w:r>
      <w:r>
        <w:rPr>
          <w:i w:val="1"/>
          <w:iCs w:val="1"/>
        </w:rPr>
        <w:t xml:space="preserve">[which are the names of]</w:t>
      </w:r>
      <w:r>
        <w:rPr/>
        <w:t xml:space="preserve"> the twelve tribes of the sons of Israel: </w:t>
      </w:r>
      <w:r>
        <w:rPr>
          <w:rStyle w:val="FootnoteReference"/>
        </w:rPr>
        <w:footnoteReference w:id="787"/>
      </w:r>
    </w:p>
    <w:p>
      <w:pPr>
        <w:pStyle w:val="BodyVerse"/>
      </w:pPr>
      <w:r>
        <w:rPr>
          <w:b w:val="1"/>
          <w:bCs w:val="1"/>
        </w:rPr>
        <w:t xml:space="preserve">[[@Bible:Re 21:13]] </w:t>
      </w:r>
      <w:r>
        <w:rPr>
          <w:sz w:val="22"/>
          <w:szCs w:val="22"/>
          <w:b w:val="1"/>
          <w:bCs w:val="1"/>
          <w:vertAlign w:val="superscript"/>
        </w:rPr>
        <w:t xml:space="preserve">13  </w:t>
      </w:r>
      <w:r>
        <w:rPr/>
        <w:t xml:space="preserve">On the east three gates; on the north three gates; on the south three gates; and on the west three gates.</w:t>
      </w:r>
    </w:p>
    <w:p>
      <w:pPr>
        <w:pStyle w:val="BodyVerse"/>
      </w:pPr>
      <w:r>
        <w:rPr>
          <w:b w:val="1"/>
          <w:bCs w:val="1"/>
        </w:rPr>
        <w:t xml:space="preserve">[[@Bible:Re 21:14]] </w:t>
      </w:r>
      <w:r>
        <w:rPr>
          <w:sz w:val="22"/>
          <w:szCs w:val="22"/>
          <w:b w:val="1"/>
          <w:bCs w:val="1"/>
          <w:vertAlign w:val="superscript"/>
        </w:rPr>
        <w:t xml:space="preserve">14  </w:t>
      </w:r>
      <w:r>
        <w:rPr/>
        <w:t xml:space="preserve">And the wall of the city had twelve foundations, and in them the twelve names of the twelve apostles of the Lamb.</w:t>
      </w:r>
    </w:p>
    <w:p>
      <w:pPr>
        <w:pStyle w:val="BodyVerse"/>
      </w:pPr>
      <w:r>
        <w:rPr>
          <w:b w:val="1"/>
          <w:bCs w:val="1"/>
        </w:rPr>
        <w:t xml:space="preserve">[[@Bible:Re 21:15]] </w:t>
      </w:r>
      <w:r>
        <w:rPr>
          <w:sz w:val="22"/>
          <w:szCs w:val="22"/>
          <w:b w:val="1"/>
          <w:bCs w:val="1"/>
          <w:vertAlign w:val="superscript"/>
        </w:rPr>
        <w:t xml:space="preserve">15  </w:t>
      </w:r>
      <w:r>
        <w:rPr/>
        <w:t xml:space="preserve">And he who talked with me had a measuring rod of gold to measure the city, and the gates thereof, and the wall thereof.</w:t>
      </w:r>
    </w:p>
    <w:p>
      <w:pPr>
        <w:spacing w:after="150"/>
      </w:pPr>
      <w:r>
        <w:rPr/>
        <w:t xml:space="preserve"/>
      </w:r>
    </w:p>
    <w:p>
      <w:pPr>
        <w:pStyle w:val="Heading3"/>
      </w:pPr>
      <w:bookmarkStart w:id="127" w:name="_Toc127"/>
      <w:r>
        <w:t>Most Holy, Holy of Holies City</w:t>
      </w:r>
      <w:bookmarkEnd w:id="127"/>
    </w:p>
    <w:p>
      <w:pPr>
        <w:pStyle w:val="SectionBody"/>
      </w:pPr>
      <w:r>
        <w:rPr>
          <w:b w:val="1"/>
          <w:bCs w:val="1"/>
        </w:rPr>
        <w:t xml:space="preserve">Important Note:</w:t>
      </w:r>
      <w:r>
        <w:rPr/>
        <w:t xml:space="preserve"> While we are keeping this study anchored strictly in Revelation's own testimony, it is important to recognize that when Revelation 21:16 describes the New Jerusalem as having its "length and the breadth and the height… equal," it presents the city as a perfect cube. In the Old Testament, that exact geometry is uniquely associated with the Most Holy Place. In the tabernacle, the inner sanctuary where God met with man (Exodus 25:22; 26:33–34, KJV) formed a perfect cube (10 cubits by 10 cubits by 10 cubits). Likewise, in Solomon's temple, the "oracle" or Most Holy Place was explicitly twenty cubits in length, breadth, and height (1 Kings 6:20, KJV), again forming a cube. That chamber was the localized dwelling of God's glory, where only the high priest could enter once a year (Leviticus 16). When Revelation presents the New Jerusalem as cubic, and then immediately declares, "And I saw no temple therein: for the Lord God Almighty and the Lamb are the temple of it" (Revelation 21:22, KJV), the implication is clear: what was once confined to a restricted inner sanctuary has now expanded to encompass the entire city. The whole New Jerusalem is presented as the Holy of Holies. This signals not architectural symbolism alone, but covenant fulfillment — unrestricted, permanent access to the presence of God, for "the tabernacle of God is with men, and he will dwell with them" (Revelation 21:3, KJV).</w:t>
      </w:r>
    </w:p>
    <w:p>
      <w:pPr>
        <w:spacing w:after="150"/>
      </w:pPr>
      <w:r>
        <w:rPr/>
        <w:t xml:space="preserve"/>
      </w:r>
    </w:p>
    <w:p>
      <w:pPr>
        <w:pStyle w:val="BodyVerse"/>
      </w:pPr>
      <w:r>
        <w:rPr>
          <w:b w:val="1"/>
          <w:bCs w:val="1"/>
        </w:rPr>
        <w:t xml:space="preserve">[[@Bible:Re 21:16]] </w:t>
      </w:r>
      <w:r>
        <w:rPr>
          <w:sz w:val="22"/>
          <w:szCs w:val="22"/>
          <w:b w:val="1"/>
          <w:bCs w:val="1"/>
          <w:vertAlign w:val="superscript"/>
        </w:rPr>
        <w:t xml:space="preserve">16  </w:t>
      </w:r>
      <w:r>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2"/>
          <w:szCs w:val="22"/>
          <w:b w:val="1"/>
          <w:bCs w:val="1"/>
          <w:vertAlign w:val="superscript"/>
        </w:rPr>
        <w:t xml:space="preserve">17  </w:t>
      </w:r>
      <w:r>
        <w:rPr/>
        <w:t xml:space="preserve">And he measured the wall thereof, an hundred and forty and four cubits, to the measure of a man, that is, of the messenger.</w:t>
      </w:r>
    </w:p>
    <w:p>
      <w:pPr>
        <w:spacing w:after="150"/>
      </w:pPr>
      <w:r>
        <w:rPr/>
        <w:t xml:space="preserve"/>
      </w:r>
    </w:p>
    <w:p>
      <w:pPr>
        <w:pStyle w:val="Heading3"/>
      </w:pPr>
      <w:bookmarkStart w:id="128" w:name="_Toc128"/>
      <w:r>
        <w:t>The Pure Wife Eternal Worth and Worthiness</w:t>
      </w:r>
      <w:bookmarkEnd w:id="128"/>
    </w:p>
    <w:p>
      <w:pPr>
        <w:pStyle w:val="BodyVerse"/>
      </w:pPr>
      <w:r>
        <w:rPr>
          <w:b w:val="1"/>
          <w:bCs w:val="1"/>
        </w:rPr>
        <w:t xml:space="preserve">[[@Bible:Re 21:18]] </w:t>
      </w:r>
      <w:r>
        <w:rPr>
          <w:sz w:val="22"/>
          <w:szCs w:val="22"/>
          <w:b w:val="1"/>
          <w:bCs w:val="1"/>
          <w:vertAlign w:val="superscript"/>
        </w:rPr>
        <w:t xml:space="preserve">18  </w:t>
      </w:r>
      <w:r>
        <w:rPr/>
        <w:t xml:space="preserve">And the building of the wall of it was of jasper: and the city was pure gold, like unto clear glass.</w:t>
      </w:r>
    </w:p>
    <w:p>
      <w:pPr>
        <w:pStyle w:val="BodyVerse"/>
      </w:pPr>
      <w:r>
        <w:rPr>
          <w:b w:val="1"/>
          <w:bCs w:val="1"/>
        </w:rPr>
        <w:t xml:space="preserve">[[@Bible:Re 21:19]] </w:t>
      </w:r>
      <w:r>
        <w:rPr>
          <w:sz w:val="22"/>
          <w:szCs w:val="22"/>
          <w:b w:val="1"/>
          <w:bCs w:val="1"/>
          <w:vertAlign w:val="superscript"/>
        </w:rPr>
        <w:t xml:space="preserve">19  </w:t>
      </w:r>
      <w:r>
        <w:rPr/>
        <w:t xml:space="preserve">And the foundations of the wall of the city were garnished with all manner of precious stones. The first foundation was jasper; the second, sapphire; the third, a chalcedony; the fourth, an emerald; </w:t>
      </w:r>
      <w:r>
        <w:rPr>
          <w:rStyle w:val="FootnoteReference"/>
        </w:rPr>
        <w:footnoteReference w:id="788"/>
      </w:r>
    </w:p>
    <w:p>
      <w:pPr>
        <w:pStyle w:val="BodyVerse"/>
      </w:pPr>
      <w:r>
        <w:rPr>
          <w:b w:val="1"/>
          <w:bCs w:val="1"/>
        </w:rPr>
        <w:t xml:space="preserve">[[@Bible:Re 21:20]] </w:t>
      </w:r>
      <w:r>
        <w:rPr>
          <w:sz w:val="22"/>
          <w:szCs w:val="22"/>
          <w:b w:val="1"/>
          <w:bCs w:val="1"/>
          <w:vertAlign w:val="superscript"/>
        </w:rPr>
        <w:t xml:space="preserve">20  </w:t>
      </w:r>
      <w:r>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2"/>
          <w:szCs w:val="22"/>
          <w:b w:val="1"/>
          <w:bCs w:val="1"/>
          <w:vertAlign w:val="superscript"/>
        </w:rPr>
        <w:t xml:space="preserve">21  </w:t>
      </w:r>
      <w:r>
        <w:rPr/>
        <w:t xml:space="preserve">And the twelve gates were twelve pearls: every several gate was of one pearl: and the street of the city was pure gold, as it were transparent glass. </w:t>
      </w:r>
      <w:r>
        <w:rPr>
          <w:rStyle w:val="FootnoteReference"/>
        </w:rPr>
        <w:footnoteReference w:id="789"/>
      </w:r>
    </w:p>
    <w:p>
      <w:pPr>
        <w:spacing w:after="150"/>
      </w:pPr>
      <w:r>
        <w:rPr/>
        <w:t xml:space="preserve"/>
      </w:r>
    </w:p>
    <w:p>
      <w:pPr>
        <w:pStyle w:val="Heading3"/>
      </w:pPr>
      <w:bookmarkStart w:id="129" w:name="_Toc129"/>
      <w:r>
        <w:t>No Temple</w:t>
      </w:r>
      <w:bookmarkEnd w:id="129"/>
    </w:p>
    <w:p>
      <w:pPr>
        <w:pStyle w:val="BodyVerse"/>
      </w:pPr>
      <w:r>
        <w:rPr>
          <w:b w:val="1"/>
          <w:bCs w:val="1"/>
        </w:rPr>
        <w:t xml:space="preserve">[[@Bible:Re 21:22]] </w:t>
      </w:r>
      <w:r>
        <w:rPr>
          <w:sz w:val="22"/>
          <w:szCs w:val="22"/>
          <w:b w:val="1"/>
          <w:bCs w:val="1"/>
          <w:vertAlign w:val="superscript"/>
        </w:rPr>
        <w:t xml:space="preserve">22  </w:t>
      </w:r>
      <w:r>
        <w:rPr/>
        <w:t xml:space="preserve">And I saw </w:t>
      </w:r>
      <w:r>
        <w:rPr>
          <w:b w:val="1"/>
          <w:bCs w:val="1"/>
        </w:rPr>
        <w:t xml:space="preserve">no temple therein</w:t>
      </w:r>
      <w:r>
        <w:rPr/>
        <w:t xml:space="preserve"> </w:t>
      </w:r>
      <w:r>
        <w:rPr>
          <w:rStyle w:val="FootnoteReference"/>
        </w:rPr>
        <w:footnoteReference w:id="790"/>
      </w:r>
      <w:r>
        <w:rPr/>
        <w:t xml:space="preserve">: for the Lord God Almighty and the Lamb are the temple of it.</w:t>
      </w:r>
    </w:p>
    <w:p>
      <w:pPr>
        <w:spacing w:after="150"/>
      </w:pPr>
      <w:r>
        <w:rPr/>
        <w:t xml:space="preserve"/>
      </w:r>
    </w:p>
    <w:p>
      <w:pPr>
        <w:pStyle w:val="Heading3"/>
      </w:pPr>
      <w:bookmarkStart w:id="130" w:name="_Toc130"/>
      <w:r>
        <w:t>God is Their Father, Jesus is Their Husband</w:t>
      </w:r>
      <w:bookmarkEnd w:id="130"/>
    </w:p>
    <w:p>
      <w:pPr>
        <w:pStyle w:val="BodyVerse"/>
      </w:pPr>
      <w:r>
        <w:rPr>
          <w:b w:val="1"/>
          <w:bCs w:val="1"/>
        </w:rPr>
        <w:t xml:space="preserve">[[@Bible:Re 21:23]] </w:t>
      </w:r>
      <w:r>
        <w:rPr>
          <w:sz w:val="22"/>
          <w:szCs w:val="22"/>
          <w:b w:val="1"/>
          <w:bCs w:val="1"/>
          <w:vertAlign w:val="superscript"/>
        </w:rPr>
        <w:t xml:space="preserve">23  </w:t>
      </w:r>
      <w:r>
        <w:rPr/>
        <w:t xml:space="preserve">And the city had no need of the sun, neither of the moon, to shine in it: for the glory of God did lighten it, and its </w:t>
      </w:r>
      <w:r>
        <w:rPr>
          <w:b w:val="1"/>
          <w:bCs w:val="1"/>
        </w:rPr>
        <w:t xml:space="preserve">lamp is the Lamb</w:t>
      </w:r>
      <w:r>
        <w:rPr/>
        <w:t xml:space="preserve"> </w:t>
      </w:r>
      <w:r>
        <w:rPr>
          <w:rStyle w:val="FootnoteReference"/>
        </w:rPr>
        <w:footnoteReference w:id="791"/>
      </w:r>
      <w:r>
        <w:rPr/>
        <w:t xml:space="preserve"> </w:t>
      </w:r>
      <w:r>
        <w:rPr>
          <w:rStyle w:val="FootnoteReference"/>
        </w:rPr>
        <w:footnoteReference w:id="792"/>
      </w:r>
      <w:r>
        <w:rPr/>
        <w:t xml:space="preserve">.</w:t>
      </w:r>
    </w:p>
    <w:p>
      <w:pPr>
        <w:pStyle w:val="BodyVerse"/>
      </w:pPr>
      <w:r>
        <w:rPr>
          <w:b w:val="1"/>
          <w:bCs w:val="1"/>
        </w:rPr>
        <w:t xml:space="preserve">[[@Bible:Re 21:24]] </w:t>
      </w:r>
      <w:r>
        <w:rPr>
          <w:sz w:val="22"/>
          <w:szCs w:val="22"/>
          <w:b w:val="1"/>
          <w:bCs w:val="1"/>
          <w:vertAlign w:val="superscript"/>
        </w:rPr>
        <w:t xml:space="preserve">24  </w:t>
      </w:r>
      <w:r>
        <w:rPr/>
        <w:t xml:space="preserve">And the nations</w:t>
      </w:r>
      <w:r>
        <w:rPr/>
        <w:t xml:space="preserve"> shall walk in </w:t>
      </w:r>
      <w:r>
        <w:rPr>
          <w:b w:val="1"/>
          <w:bCs w:val="1"/>
        </w:rPr>
        <w:t xml:space="preserve">the light of it</w:t>
      </w:r>
      <w:r>
        <w:rPr/>
        <w:t xml:space="preserve"> </w:t>
      </w:r>
      <w:r>
        <w:rPr>
          <w:rStyle w:val="FootnoteReference"/>
        </w:rPr>
        <w:footnoteReference w:id="793"/>
      </w:r>
      <w:r>
        <w:rPr/>
        <w:t xml:space="preserve">: and the </w:t>
      </w:r>
      <w:r>
        <w:rPr>
          <w:b w:val="1"/>
          <w:bCs w:val="1"/>
        </w:rPr>
        <w:t xml:space="preserve">kings of the earth do bring their glory</w:t>
      </w:r>
      <w:r>
        <w:rPr/>
        <w:t xml:space="preserve"> </w:t>
      </w:r>
      <w:r>
        <w:rPr>
          <w:rStyle w:val="FootnoteReference"/>
        </w:rPr>
        <w:footnoteReference w:id="794"/>
      </w:r>
      <w:r>
        <w:rPr/>
        <w:t xml:space="preserve"> </w:t>
      </w:r>
      <w:r>
        <w:rPr>
          <w:rStyle w:val="FootnoteReference"/>
        </w:rPr>
        <w:footnoteReference w:id="795"/>
      </w:r>
      <w:r>
        <w:rPr/>
        <w:t xml:space="preserve"> </w:t>
      </w:r>
      <w:r>
        <w:rPr/>
        <w:t xml:space="preserve"> into it.</w:t>
      </w:r>
    </w:p>
    <w:p>
      <w:pPr>
        <w:jc w:val="left"/>
        <w:ind w:left="360" w:right="0" w:firstLine="0" w:hanging="0"/>
        <w:spacing w:after="60"/>
      </w:pPr>
      <w:r>
        <w:rPr>
          <w:sz w:val="18"/>
          <w:szCs w:val="18"/>
          <w:i w:val="1"/>
          <w:iCs w:val="1"/>
        </w:rPr>
        <w:t xml:space="preserve">[fn] "Which are saved" appears in the KJV/TR tradition. Many critical texts omit the phrase; ESV follows the omission. This only affects whether the nation's salvation status is explicit or inferred from context.</w:t>
      </w:r>
    </w:p>
    <w:p>
      <w:pPr>
        <w:pStyle w:val="BodyVerse"/>
      </w:pPr>
      <w:r>
        <w:rPr>
          <w:b w:val="1"/>
          <w:bCs w:val="1"/>
        </w:rPr>
        <w:t xml:space="preserve">[[@Bible:Re 21:25]] </w:t>
      </w:r>
      <w:r>
        <w:rPr>
          <w:sz w:val="22"/>
          <w:szCs w:val="22"/>
          <w:b w:val="1"/>
          <w:bCs w:val="1"/>
          <w:vertAlign w:val="superscript"/>
        </w:rPr>
        <w:t xml:space="preserve">25  </w:t>
      </w:r>
      <w:r>
        <w:rPr/>
        <w:t xml:space="preserve">And the gates of it shall not be shut at all by day: for there shall be no night there.</w:t>
      </w:r>
    </w:p>
    <w:p>
      <w:pPr>
        <w:pStyle w:val="BodyVerse"/>
      </w:pPr>
      <w:r>
        <w:rPr>
          <w:b w:val="1"/>
          <w:bCs w:val="1"/>
        </w:rPr>
        <w:t xml:space="preserve">[[@Bible:Re 21:26]] </w:t>
      </w:r>
      <w:r>
        <w:rPr>
          <w:sz w:val="22"/>
          <w:szCs w:val="22"/>
          <w:b w:val="1"/>
          <w:bCs w:val="1"/>
          <w:vertAlign w:val="superscript"/>
        </w:rPr>
        <w:t xml:space="preserve">26  </w:t>
      </w:r>
      <w:r>
        <w:rPr/>
        <w:t xml:space="preserve">And </w:t>
      </w:r>
      <w:r>
        <w:rPr>
          <w:b w:val="1"/>
          <w:bCs w:val="1"/>
        </w:rPr>
        <w:t xml:space="preserve">they shall bring the glory and honor</w:t>
      </w:r>
      <w:r>
        <w:rPr/>
        <w:t xml:space="preserve"> </w:t>
      </w:r>
      <w:r>
        <w:rPr>
          <w:rStyle w:val="FootnoteReference"/>
        </w:rPr>
        <w:footnoteReference w:id="796"/>
      </w:r>
      <w:r>
        <w:rPr/>
        <w:t xml:space="preserve"> of the nations into it. </w:t>
      </w:r>
      <w:r>
        <w:rPr>
          <w:rStyle w:val="FootnoteReference"/>
        </w:rPr>
        <w:footnoteReference w:id="797"/>
      </w:r>
    </w:p>
    <w:p>
      <w:pPr>
        <w:spacing w:after="150"/>
      </w:pPr>
      <w:r>
        <w:rPr/>
        <w:t xml:space="preserve"/>
      </w:r>
    </w:p>
    <w:p>
      <w:pPr>
        <w:pStyle w:val="Heading3"/>
      </w:pPr>
      <w:bookmarkStart w:id="131" w:name="_Toc131"/>
      <w:r>
        <w:t>No Evil Persons</w:t>
      </w:r>
      <w:bookmarkEnd w:id="131"/>
    </w:p>
    <w:p>
      <w:pPr>
        <w:pStyle w:val="BodyVerse"/>
      </w:pPr>
      <w:r>
        <w:rPr>
          <w:b w:val="1"/>
          <w:bCs w:val="1"/>
        </w:rPr>
        <w:t xml:space="preserve">[[@Bible:Re 21:27]] </w:t>
      </w:r>
      <w:r>
        <w:rPr>
          <w:sz w:val="22"/>
          <w:szCs w:val="22"/>
          <w:b w:val="1"/>
          <w:bCs w:val="1"/>
          <w:vertAlign w:val="superscript"/>
        </w:rPr>
        <w:t xml:space="preserve">27  </w:t>
      </w:r>
      <w:r>
        <w:rPr/>
        <w:t xml:space="preserve">And there shall in no wise enter into it any that defiles, neither whatsoever works abomination, or makes a lie: but they who are written in the </w:t>
      </w:r>
      <w:r>
        <w:rPr>
          <w:b w:val="1"/>
          <w:bCs w:val="1"/>
        </w:rPr>
        <w:t xml:space="preserve">book of life of the Lamb</w:t>
      </w:r>
      <w:r>
        <w:rPr/>
        <w:t xml:space="preserve"> </w:t>
      </w:r>
      <w:r>
        <w:rPr>
          <w:rStyle w:val="FootnoteReference"/>
        </w:rPr>
        <w:footnoteReference w:id="798"/>
      </w:r>
      <w:r>
        <w:rPr/>
        <w:t xml:space="preserve">.</w:t>
      </w:r>
    </w:p>
    <w:p>
      <w:pPr>
        <w:spacing w:after="150"/>
      </w:pPr>
      <w:r>
        <w:rPr/>
        <w:t xml:space="preserve"/>
      </w:r>
    </w:p>
    <w:p>
      <w:pPr>
        <w:pStyle w:val="Heading3"/>
      </w:pPr>
      <w:bookmarkStart w:id="132" w:name="_Toc132"/>
      <w:r>
        <w:t>The River and the Tree of Life</w:t>
      </w:r>
      <w:bookmarkEnd w:id="132"/>
    </w:p>
    <w:p>
      <w:pPr>
        <w:pStyle w:val="SectionBody"/>
      </w:pPr>
      <w:r>
        <w:rPr>
          <w:b w:val="1"/>
          <w:bCs w:val="1"/>
        </w:rPr>
        <w:t xml:space="preserve">Important Note:</w:t>
      </w:r>
      <w:r>
        <w:rPr/>
        <w:t xml:space="preserve"> After Revelation 3:31, we do not see the throne specifically defined as shared with the Lamb until here at the end. The shared throne is most emphasized at this point.</w:t>
      </w:r>
    </w:p>
    <w:p>
      <w:pPr>
        <w:spacing w:after="150"/>
      </w:pPr>
      <w:r>
        <w:rPr/>
        <w:t xml:space="preserve"/>
      </w:r>
    </w:p>
    <w:p>
      <w:pPr>
        <w:pStyle w:val="BodyVerse"/>
      </w:pPr>
      <w:r>
        <w:rPr>
          <w:b w:val="1"/>
          <w:bCs w:val="1"/>
        </w:rPr>
        <w:t xml:space="preserve">[[@Bible:Re 22:1]] </w:t>
      </w:r>
      <w:r>
        <w:rPr>
          <w:sz w:val="22"/>
          <w:szCs w:val="22"/>
          <w:b w:val="1"/>
          <w:bCs w:val="1"/>
          <w:vertAlign w:val="superscript"/>
        </w:rPr>
        <w:t xml:space="preserve">1  </w:t>
      </w:r>
      <w:r>
        <w:rPr/>
        <w:t xml:space="preserve">And he showed me a</w:t>
      </w:r>
      <w:r>
        <w:rPr/>
        <w:t xml:space="preserve"> river of </w:t>
      </w:r>
      <w:r>
        <w:rPr>
          <w:b w:val="1"/>
          <w:bCs w:val="1"/>
        </w:rPr>
        <w:t xml:space="preserve">water of life</w:t>
      </w:r>
      <w:r>
        <w:rPr/>
        <w:t xml:space="preserve"> </w:t>
      </w:r>
      <w:r>
        <w:rPr>
          <w:rStyle w:val="FootnoteReference"/>
        </w:rPr>
        <w:footnoteReference w:id="799"/>
      </w:r>
      <w:r>
        <w:rPr/>
        <w:t xml:space="preserve">, bright as crystal, proceeding out of the </w:t>
      </w:r>
      <w:r>
        <w:rPr>
          <w:b w:val="1"/>
          <w:bCs w:val="1"/>
        </w:rPr>
        <w:t xml:space="preserve">throne of God and of the Lamb</w:t>
      </w:r>
      <w:r>
        <w:rPr/>
        <w:t xml:space="preserve"> </w:t>
      </w:r>
      <w:r>
        <w:rPr>
          <w:rStyle w:val="FootnoteReference"/>
        </w:rPr>
        <w:footnoteReference w:id="800"/>
      </w:r>
      <w:r>
        <w:rPr/>
        <w:t xml:space="preserve">.</w:t>
      </w:r>
    </w:p>
    <w:p>
      <w:pPr>
        <w:pStyle w:val="BodyVerse"/>
      </w:pPr>
      <w:r>
        <w:rPr>
          <w:b w:val="1"/>
          <w:bCs w:val="1"/>
        </w:rPr>
        <w:t xml:space="preserve">[[@Bible:Re 22:2]] </w:t>
      </w:r>
      <w:r>
        <w:rPr>
          <w:sz w:val="22"/>
          <w:szCs w:val="22"/>
          <w:b w:val="1"/>
          <w:bCs w:val="1"/>
          <w:vertAlign w:val="superscript"/>
        </w:rPr>
        <w:t xml:space="preserve">2  </w:t>
      </w:r>
      <w:r>
        <w:rPr/>
        <w:t xml:space="preserve">In the midst of the street of it, and on either side of the </w:t>
      </w:r>
      <w:r>
        <w:rPr>
          <w:b w:val="1"/>
          <w:bCs w:val="1"/>
        </w:rPr>
        <w:t xml:space="preserve">river</w:t>
      </w:r>
      <w:r>
        <w:rPr/>
        <w:t xml:space="preserve"> </w:t>
      </w:r>
      <w:r>
        <w:rPr>
          <w:rStyle w:val="FootnoteReference"/>
        </w:rPr>
        <w:footnoteReference w:id="801"/>
      </w:r>
      <w:r>
        <w:rPr/>
        <w:t xml:space="preserve">, was there the </w:t>
      </w:r>
      <w:r>
        <w:rPr>
          <w:b w:val="1"/>
          <w:bCs w:val="1"/>
        </w:rPr>
        <w:t xml:space="preserve">tree of life</w:t>
      </w:r>
      <w:r>
        <w:rPr/>
        <w:t xml:space="preserve"> </w:t>
      </w:r>
      <w:r>
        <w:rPr>
          <w:rStyle w:val="FootnoteReference"/>
        </w:rPr>
        <w:footnoteReference w:id="802"/>
      </w:r>
      <w:r>
        <w:rPr/>
        <w:t xml:space="preserve">, with its twelve manner of fruits, and yielded its fruit every month: and the leaves of the tree were for the healing of the nations. </w:t>
      </w:r>
      <w:r>
        <w:rPr>
          <w:rStyle w:val="FootnoteReference"/>
        </w:rPr>
        <w:footnoteReference w:id="803"/>
      </w:r>
    </w:p>
    <w:p>
      <w:pPr>
        <w:pStyle w:val="BodyVerse"/>
      </w:pPr>
      <w:r>
        <w:rPr>
          <w:b w:val="1"/>
          <w:bCs w:val="1"/>
        </w:rPr>
        <w:t xml:space="preserve">[[@Bible:Re 22:3]] </w:t>
      </w:r>
      <w:r>
        <w:rPr>
          <w:sz w:val="22"/>
          <w:szCs w:val="22"/>
          <w:b w:val="1"/>
          <w:bCs w:val="1"/>
          <w:vertAlign w:val="superscript"/>
        </w:rPr>
        <w:t xml:space="preserve">3  </w:t>
      </w:r>
      <w:r>
        <w:rPr/>
        <w:t xml:space="preserve">And there shall be </w:t>
      </w:r>
      <w:r>
        <w:rPr>
          <w:b w:val="1"/>
          <w:bCs w:val="1"/>
        </w:rPr>
        <w:t xml:space="preserve">no more curse</w:t>
      </w:r>
      <w:r>
        <w:rPr/>
        <w:t xml:space="preserve"> </w:t>
      </w:r>
      <w:r>
        <w:rPr>
          <w:rStyle w:val="FootnoteReference"/>
        </w:rPr>
        <w:footnoteReference w:id="804"/>
      </w:r>
      <w:r>
        <w:rPr/>
        <w:t xml:space="preserve">: but the </w:t>
      </w:r>
      <w:r>
        <w:rPr>
          <w:b w:val="1"/>
          <w:bCs w:val="1"/>
        </w:rPr>
        <w:t xml:space="preserve">throne of God and of the Lamb</w:t>
      </w:r>
      <w:r>
        <w:rPr/>
        <w:t xml:space="preserve"> shall be in it </w:t>
      </w:r>
      <w:r>
        <w:rPr>
          <w:rStyle w:val="FootnoteReference"/>
        </w:rPr>
        <w:footnoteReference w:id="805"/>
      </w:r>
      <w:r>
        <w:rPr/>
        <w:t xml:space="preserve">; and his servants shall serve him:</w:t>
      </w:r>
    </w:p>
    <w:p>
      <w:pPr>
        <w:spacing w:after="150"/>
      </w:pPr>
      <w:r>
        <w:rPr/>
        <w:t xml:space="preserve"/>
      </w:r>
    </w:p>
    <w:p>
      <w:pPr>
        <w:pStyle w:val="Heading3"/>
      </w:pPr>
      <w:bookmarkStart w:id="133" w:name="_Toc133"/>
      <w:r>
        <w:t>All Saints See God's Face and Have His Seal</w:t>
      </w:r>
      <w:bookmarkEnd w:id="133"/>
    </w:p>
    <w:p>
      <w:pPr>
        <w:pStyle w:val="SectionBody"/>
      </w:pPr>
      <w:r>
        <w:rPr>
          <w:b w:val="1"/>
          <w:bCs w:val="1"/>
        </w:rPr>
        <w:t xml:space="preserve">Important Note:</w:t>
      </w:r>
      <w:r>
        <w:rPr/>
        <w:t xml:space="preserve"> Throughout Revelation, faces are associated with fear and concealment. In Revelation 6:16, men call on the mountains to hide them "from the face of him that sitteth on the throne, and from the wrath of the Lamb." Likewise, in Revelation 12:14, the woman is given wings to flee into the wilderness, hidden from the face of the serpent. Earlier in the book, faces drive men into hiding; but in Revelation 22:4 the pattern is gloriously reversed: "And they shall see his face." What once was a face of flight or concealment is now the eternal privilege of the redeemed — no more hiding, only unhindered sight of God.</w:t>
      </w:r>
    </w:p>
    <w:p>
      <w:pPr>
        <w:spacing w:after="150"/>
      </w:pPr>
      <w:r>
        <w:rPr/>
        <w:t xml:space="preserve"/>
      </w:r>
    </w:p>
    <w:p>
      <w:pPr>
        <w:pStyle w:val="BodyVerse"/>
      </w:pPr>
      <w:r>
        <w:rPr>
          <w:b w:val="1"/>
          <w:bCs w:val="1"/>
        </w:rPr>
        <w:t xml:space="preserve">[[@Bible:Re 22:4]] </w:t>
      </w:r>
      <w:r>
        <w:rPr>
          <w:sz w:val="22"/>
          <w:szCs w:val="22"/>
          <w:b w:val="1"/>
          <w:bCs w:val="1"/>
          <w:vertAlign w:val="superscript"/>
        </w:rPr>
        <w:t xml:space="preserve">4  </w:t>
      </w:r>
      <w:r>
        <w:rPr/>
        <w:t xml:space="preserve">And they shall see his face; and his </w:t>
      </w:r>
      <w:r>
        <w:rPr>
          <w:b w:val="1"/>
          <w:bCs w:val="1"/>
        </w:rPr>
        <w:t xml:space="preserve">name</w:t>
      </w:r>
      <w:r>
        <w:rPr/>
        <w:t xml:space="preserve"> shall be in their </w:t>
      </w:r>
      <w:r>
        <w:rPr>
          <w:b w:val="1"/>
          <w:bCs w:val="1"/>
        </w:rPr>
        <w:t xml:space="preserve">foreheads</w:t>
      </w:r>
      <w:r>
        <w:rPr/>
        <w:t xml:space="preserve"> </w:t>
      </w:r>
      <w:r>
        <w:rPr>
          <w:rStyle w:val="FootnoteReference"/>
        </w:rPr>
        <w:footnoteReference w:id="806"/>
      </w:r>
      <w:r>
        <w:rPr/>
        <w:t xml:space="preserve"> </w:t>
      </w:r>
      <w:r>
        <w:rPr>
          <w:rStyle w:val="FootnoteReference"/>
        </w:rPr>
        <w:footnoteReference w:id="807"/>
      </w:r>
      <w:r>
        <w:rPr/>
        <w:t xml:space="preserve">.</w:t>
      </w:r>
    </w:p>
    <w:p>
      <w:pPr>
        <w:pStyle w:val="BodyVerse"/>
      </w:pPr>
      <w:r>
        <w:rPr>
          <w:b w:val="1"/>
          <w:bCs w:val="1"/>
        </w:rPr>
        <w:t xml:space="preserve">[[@Bible:Re 22:5]] </w:t>
      </w:r>
      <w:r>
        <w:rPr>
          <w:sz w:val="22"/>
          <w:szCs w:val="22"/>
          <w:b w:val="1"/>
          <w:bCs w:val="1"/>
          <w:vertAlign w:val="superscript"/>
        </w:rPr>
        <w:t xml:space="preserve">5  </w:t>
      </w:r>
      <w:r>
        <w:rPr/>
        <w:t xml:space="preserve">And there shall be no night there; and they need no lamp, neither light of the sun; for the Lord God gives them light: and they shall reign forever and ever.</w:t>
      </w:r>
    </w:p>
    <w:p>
      <w:pPr>
        <w:spacing w:after="150"/>
      </w:pPr>
      <w:r>
        <w:rPr/>
        <w:t xml:space="preserve"/>
      </w:r>
    </w:p>
    <w:p>
      <w:pPr>
        <w:pStyle w:val="Heading3"/>
      </w:pPr>
      <w:bookmarkStart w:id="134" w:name="_Toc134"/>
      <w:r>
        <w:t>The Brethren Prophet Messenger: Holder of a Vial Judgement</w:t>
      </w:r>
      <w:bookmarkEnd w:id="134"/>
    </w:p>
    <w:p>
      <w:pPr>
        <w:pStyle w:val="SectionBody"/>
      </w:pPr>
      <w:r>
        <w:rPr>
          <w:b w:val="1"/>
          <w:bCs w:val="1"/>
        </w:rPr>
        <w:t xml:space="preserve">Important Note:</w:t>
      </w:r>
      <w:r>
        <w:rPr/>
        <w:t xml:space="preserve"> After John sees the new Jerusalem, he starts to worship the angel. John seems to have a pattern of this after seeing the bride and wife of the Lamb. This pattern seems to serve as bookends to the Bride's vision and understanding. What is also interesting is that, under this study's understanding of Revelation, the first time John falls to worship would mark the start of the tribulation, and the second time would mark the very end of all old things and the beginning of the new. Thus, it could be seen to encapsulate the entire book's story. From the bride's first arrival to her final appearance as New Jerusalem.</w:t>
      </w:r>
    </w:p>
    <w:p>
      <w:pPr>
        <w:spacing w:after="150"/>
      </w:pPr>
      <w:r>
        <w:rPr/>
        <w:t xml:space="preserve"/>
      </w:r>
    </w:p>
    <w:p>
      <w:pPr>
        <w:pStyle w:val="BodyVerse"/>
      </w:pPr>
      <w:r>
        <w:rPr>
          <w:b w:val="1"/>
          <w:bCs w:val="1"/>
        </w:rPr>
        <w:t xml:space="preserve">[[@Bible:Re 22:6]] </w:t>
      </w:r>
      <w:r>
        <w:rPr>
          <w:sz w:val="22"/>
          <w:szCs w:val="22"/>
          <w:b w:val="1"/>
          <w:bCs w:val="1"/>
          <w:vertAlign w:val="superscript"/>
        </w:rPr>
        <w:t xml:space="preserve">6  </w:t>
      </w:r>
      <w:r>
        <w:rPr/>
        <w:t xml:space="preserve">And he said unto me, These sayings are faithful and true: and the Lord God of the holy prophets sent his </w:t>
      </w:r>
      <w:r>
        <w:rPr>
          <w:b w:val="1"/>
          <w:bCs w:val="1"/>
        </w:rPr>
        <w:t xml:space="preserve">messenger</w:t>
      </w:r>
      <w:r>
        <w:rPr/>
        <w:t xml:space="preserve"> </w:t>
      </w:r>
      <w:r>
        <w:rPr>
          <w:rStyle w:val="FootnoteReference"/>
        </w:rPr>
        <w:footnoteReference w:id="808"/>
      </w:r>
      <w:r>
        <w:rPr/>
        <w:t xml:space="preserve"> to show unto his servants the </w:t>
      </w:r>
      <w:r>
        <w:rPr>
          <w:b w:val="1"/>
          <w:bCs w:val="1"/>
        </w:rPr>
        <w:t xml:space="preserve">things which must shortly be done</w:t>
      </w:r>
      <w:r>
        <w:rPr/>
        <w:t xml:space="preserve"> </w:t>
      </w:r>
      <w:r>
        <w:rPr>
          <w:rStyle w:val="FootnoteReference"/>
        </w:rPr>
        <w:footnoteReference w:id="809"/>
      </w:r>
      <w:r>
        <w:rPr/>
        <w:t xml:space="preserve">.</w:t>
      </w:r>
    </w:p>
    <w:p>
      <w:pPr>
        <w:pStyle w:val="BodyVerse"/>
      </w:pPr>
      <w:r>
        <w:rPr>
          <w:b w:val="1"/>
          <w:bCs w:val="1"/>
        </w:rPr>
        <w:t xml:space="preserve">[[@Bible:Re 22:7]] </w:t>
      </w:r>
      <w:r>
        <w:rPr>
          <w:sz w:val="22"/>
          <w:szCs w:val="22"/>
          <w:b w:val="1"/>
          <w:bCs w:val="1"/>
          <w:vertAlign w:val="superscript"/>
        </w:rPr>
        <w:t xml:space="preserve">7  </w:t>
      </w:r>
      <w:r>
        <w:rPr/>
        <w:t xml:space="preserve">Behold, I come </w:t>
      </w:r>
      <w:r>
        <w:rPr>
          <w:b w:val="1"/>
          <w:bCs w:val="1"/>
        </w:rPr>
        <w:t xml:space="preserve">quickly</w:t>
      </w:r>
      <w:r>
        <w:rPr/>
        <w:t xml:space="preserve"> </w:t>
      </w:r>
      <w:r>
        <w:rPr>
          <w:rStyle w:val="FootnoteReference"/>
        </w:rPr>
        <w:footnoteReference w:id="810"/>
      </w:r>
      <w:r>
        <w:rPr/>
        <w:t xml:space="preserve">: </w:t>
      </w:r>
      <w:r>
        <w:rPr>
          <w:b w:val="1"/>
          <w:bCs w:val="1"/>
        </w:rPr>
        <w:t xml:space="preserve">blessed</w:t>
      </w:r>
      <w:r>
        <w:rPr/>
        <w:t xml:space="preserve"> </w:t>
      </w:r>
      <w:r>
        <w:rPr>
          <w:rStyle w:val="FootnoteReference"/>
        </w:rPr>
        <w:footnoteReference w:id="811"/>
      </w:r>
      <w:r>
        <w:rPr/>
        <w:t xml:space="preserve"> is he who keeps the sayings of the </w:t>
      </w:r>
      <w:r>
        <w:rPr>
          <w:b w:val="1"/>
          <w:bCs w:val="1"/>
        </w:rPr>
        <w:t xml:space="preserve">prophecy of this book</w:t>
      </w:r>
      <w:r>
        <w:rPr/>
        <w:t xml:space="preserve"> </w:t>
      </w:r>
      <w:r>
        <w:rPr>
          <w:rStyle w:val="FootnoteReference"/>
        </w:rPr>
        <w:footnoteReference w:id="812"/>
      </w:r>
      <w:r>
        <w:rPr/>
        <w:t xml:space="preserve">.</w:t>
      </w:r>
    </w:p>
    <w:p>
      <w:pPr>
        <w:pStyle w:val="BodyVerse"/>
      </w:pPr>
      <w:r>
        <w:rPr>
          <w:b w:val="1"/>
          <w:bCs w:val="1"/>
        </w:rPr>
        <w:t xml:space="preserve">[[@Bible:Re 22:8]] </w:t>
      </w:r>
      <w:r>
        <w:rPr>
          <w:sz w:val="22"/>
          <w:szCs w:val="22"/>
          <w:b w:val="1"/>
          <w:bCs w:val="1"/>
          <w:vertAlign w:val="superscript"/>
        </w:rPr>
        <w:t xml:space="preserve">8  </w:t>
      </w:r>
      <w:r>
        <w:rPr/>
        <w:t xml:space="preserve">And I, John, heard these things, and saw them. And when I had heard and seen, </w:t>
      </w:r>
      <w:r>
        <w:rPr>
          <w:b w:val="1"/>
          <w:bCs w:val="1"/>
        </w:rPr>
        <w:t xml:space="preserve">I fell down to worship before the feet of the messenger</w:t>
      </w:r>
      <w:r>
        <w:rPr/>
        <w:t xml:space="preserve"> </w:t>
      </w:r>
      <w:r>
        <w:rPr>
          <w:rStyle w:val="FootnoteReference"/>
        </w:rPr>
        <w:footnoteReference w:id="813"/>
      </w:r>
      <w:r>
        <w:rPr/>
        <w:t xml:space="preserve"> who showed me these things.</w:t>
      </w:r>
    </w:p>
    <w:p>
      <w:pPr>
        <w:pStyle w:val="BodyVerse"/>
      </w:pPr>
      <w:r>
        <w:rPr>
          <w:b w:val="1"/>
          <w:bCs w:val="1"/>
        </w:rPr>
        <w:t xml:space="preserve">[[@Bible:Re 22:9]] </w:t>
      </w:r>
      <w:r>
        <w:rPr>
          <w:sz w:val="22"/>
          <w:szCs w:val="22"/>
          <w:b w:val="1"/>
          <w:bCs w:val="1"/>
          <w:vertAlign w:val="superscript"/>
        </w:rPr>
        <w:t xml:space="preserve">9  </w:t>
      </w:r>
      <w:r>
        <w:rPr/>
        <w:t xml:space="preserve">Then he said unto me, See you do it not! for I am thy fellowservant, and of thy </w:t>
      </w:r>
      <w:r>
        <w:rPr>
          <w:b w:val="1"/>
          <w:bCs w:val="1"/>
        </w:rPr>
        <w:t xml:space="preserve">brethren</w:t>
      </w:r>
      <w:r>
        <w:rPr/>
        <w:t xml:space="preserve"> </w:t>
      </w:r>
      <w:r>
        <w:rPr>
          <w:rStyle w:val="FootnoteReference"/>
        </w:rPr>
        <w:footnoteReference w:id="814"/>
      </w:r>
      <w:r>
        <w:rPr/>
        <w:t xml:space="preserve"> the prophets, and of those who keep the </w:t>
      </w:r>
      <w:r>
        <w:rPr>
          <w:b w:val="1"/>
          <w:bCs w:val="1"/>
        </w:rPr>
        <w:t xml:space="preserve">sayings of this book</w:t>
      </w:r>
      <w:r>
        <w:rPr/>
        <w:t xml:space="preserve"> </w:t>
      </w:r>
      <w:r>
        <w:rPr>
          <w:rStyle w:val="FootnoteReference"/>
        </w:rPr>
        <w:footnoteReference w:id="815"/>
      </w:r>
      <w:r>
        <w:rPr/>
        <w:t xml:space="preserve">: worship God.</w:t>
      </w:r>
    </w:p>
    <w:p>
      <w:pPr>
        <w:jc w:val="center"/>
        <w:spacing w:before="120" w:after="60"/>
      </w:pPr>
      <w:r>
        <w:rPr>
          <w:sz w:val="36"/>
          <w:szCs w:val="36"/>
          <w:b w:val="1"/>
          <w:bCs w:val="1"/>
        </w:rPr>
        <w:t xml:space="preserve">✶</w:t>
      </w:r>
    </w:p>
    <w:p>
      <w:pPr>
        <w:pStyle w:val="Heading2"/>
      </w:pPr>
      <w:bookmarkStart w:id="135" w:name="_Toc135"/>
      <w:r>
        <w:t>The Final Message</w:t>
      </w:r>
      <w:bookmarkEnd w:id="135"/>
    </w:p>
    <w:p>
      <w:pPr>
        <w:pStyle w:val="SectionBody"/>
      </w:pPr>
      <w:r>
        <w:rPr>
          <w:b w:val="1"/>
          <w:bCs w:val="1"/>
        </w:rPr>
        <w:t xml:space="preserve">Linear Scene 1.7</w:t>
      </w:r>
      <w:r>
        <w:rPr/>
        <w:t xml:space="preserve">: The words of this prophecy are open. The time is near. Closing remarks.</w:t>
      </w:r>
    </w:p>
    <w:p>
      <w:pPr>
        <w:spacing w:after="150"/>
      </w:pPr>
      <w:r>
        <w:rPr/>
        <w:t xml:space="preserve"/>
      </w:r>
    </w:p>
    <w:p>
      <w:pPr>
        <w:pStyle w:val="BodyVerse"/>
      </w:pPr>
      <w:r>
        <w:rPr>
          <w:b w:val="1"/>
          <w:bCs w:val="1"/>
        </w:rPr>
        <w:t xml:space="preserve">[[@Bible:Re 22:10]] </w:t>
      </w:r>
      <w:r>
        <w:rPr>
          <w:sz w:val="22"/>
          <w:szCs w:val="22"/>
          <w:b w:val="1"/>
          <w:bCs w:val="1"/>
          <w:vertAlign w:val="superscript"/>
        </w:rPr>
        <w:t xml:space="preserve">10  </w:t>
      </w:r>
      <w:r>
        <w:rPr/>
        <w:t xml:space="preserve">And he said unto me, Seal not the sayings of the prophecy of this book: for the </w:t>
      </w:r>
      <w:r>
        <w:rPr>
          <w:b w:val="1"/>
          <w:bCs w:val="1"/>
        </w:rPr>
        <w:t xml:space="preserve">time is at hand</w:t>
      </w:r>
      <w:r>
        <w:rPr/>
        <w:t xml:space="preserve"> </w:t>
      </w:r>
      <w:r>
        <w:rPr>
          <w:rStyle w:val="FootnoteReference"/>
        </w:rPr>
        <w:footnoteReference w:id="816"/>
      </w:r>
      <w:r>
        <w:rPr/>
        <w:t xml:space="preserve"> </w:t>
      </w:r>
      <w:r>
        <w:rPr>
          <w:rStyle w:val="FootnoteReference"/>
        </w:rPr>
        <w:footnoteReference w:id="817"/>
      </w:r>
      <w:r>
        <w:rPr/>
        <w:t xml:space="preserve">.</w:t>
      </w:r>
    </w:p>
    <w:p>
      <w:pPr>
        <w:jc w:val="left"/>
        <w:ind w:left="360" w:right="0" w:firstLine="0" w:hanging="0"/>
        <w:spacing w:after="60"/>
      </w:pPr>
      <w:r>
        <w:rPr>
          <w:sz w:val="18"/>
          <w:szCs w:val="18"/>
          <w:i w:val="1"/>
          <w:iCs w:val="1"/>
        </w:rPr>
        <w:t xml:space="preserve">[fn] In Daniel 12 the words are sealed, here they are not.</w:t>
      </w:r>
    </w:p>
    <w:p>
      <w:pPr>
        <w:pStyle w:val="BodyVerse"/>
      </w:pPr>
      <w:r>
        <w:rPr>
          <w:b w:val="1"/>
          <w:bCs w:val="1"/>
        </w:rPr>
        <w:t xml:space="preserve">[[@Bible:Re 22:11]] </w:t>
      </w:r>
      <w:r>
        <w:rPr>
          <w:sz w:val="22"/>
          <w:szCs w:val="22"/>
          <w:b w:val="1"/>
          <w:bCs w:val="1"/>
          <w:vertAlign w:val="superscript"/>
        </w:rPr>
        <w:t xml:space="preserve">11  </w:t>
      </w:r>
      <w:r>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2"/>
          <w:szCs w:val="22"/>
          <w:b w:val="1"/>
          <w:bCs w:val="1"/>
          <w:vertAlign w:val="superscript"/>
        </w:rPr>
        <w:t xml:space="preserve">12  </w:t>
      </w:r>
      <w:r>
        <w:rPr/>
        <w:t xml:space="preserve">And, behold, I come </w:t>
      </w:r>
      <w:r>
        <w:rPr>
          <w:b w:val="1"/>
          <w:bCs w:val="1"/>
        </w:rPr>
        <w:t xml:space="preserve">quickly</w:t>
      </w:r>
      <w:r>
        <w:rPr/>
        <w:t xml:space="preserve"> </w:t>
      </w:r>
      <w:r>
        <w:rPr>
          <w:rStyle w:val="FootnoteReference"/>
        </w:rPr>
        <w:footnoteReference w:id="818"/>
      </w:r>
      <w:r>
        <w:rPr/>
        <w:t xml:space="preserve">; and my reward is with me, to give every man according as his </w:t>
      </w:r>
      <w:r>
        <w:rPr>
          <w:b w:val="1"/>
          <w:bCs w:val="1"/>
        </w:rPr>
        <w:t xml:space="preserve">work</w:t>
      </w:r>
      <w:r>
        <w:rPr/>
        <w:t xml:space="preserve"> shall be </w:t>
      </w:r>
      <w:r>
        <w:rPr>
          <w:rStyle w:val="FootnoteReference"/>
        </w:rPr>
        <w:footnoteReference w:id="819"/>
      </w:r>
      <w:r>
        <w:rPr/>
        <w:t xml:space="preserve">.</w:t>
      </w:r>
    </w:p>
    <w:p>
      <w:pPr>
        <w:pStyle w:val="BodyVerse"/>
      </w:pPr>
      <w:r>
        <w:rPr>
          <w:b w:val="1"/>
          <w:bCs w:val="1"/>
        </w:rPr>
        <w:t xml:space="preserve">[[@Bible:Re 22:13]] </w:t>
      </w:r>
      <w:r>
        <w:rPr>
          <w:sz w:val="22"/>
          <w:szCs w:val="22"/>
          <w:b w:val="1"/>
          <w:bCs w:val="1"/>
          <w:vertAlign w:val="superscript"/>
        </w:rPr>
        <w:t xml:space="preserve">13  </w:t>
      </w:r>
      <w:r>
        <w:rPr/>
        <w:t xml:space="preserve">I am </w:t>
      </w:r>
      <w:r>
        <w:rPr>
          <w:b w:val="1"/>
          <w:bCs w:val="1"/>
        </w:rPr>
        <w:t xml:space="preserve">Alpha and Omega, the first and the last, the beginning and the end</w:t>
      </w:r>
      <w:r>
        <w:rPr/>
        <w:t xml:space="preserve"> </w:t>
      </w:r>
      <w:r>
        <w:rPr>
          <w:rStyle w:val="FootnoteReference"/>
        </w:rPr>
        <w:footnoteReference w:id="820"/>
      </w:r>
      <w:r>
        <w:rPr/>
        <w:t xml:space="preserve">.</w:t>
      </w:r>
    </w:p>
    <w:p>
      <w:pPr>
        <w:spacing w:after="150"/>
      </w:pPr>
      <w:r>
        <w:rPr/>
        <w:t xml:space="preserve"/>
      </w:r>
    </w:p>
    <w:p>
      <w:pPr>
        <w:pStyle w:val="Heading3"/>
      </w:pPr>
      <w:bookmarkStart w:id="136" w:name="_Toc136"/>
      <w:r>
        <w:t>Wash Your Robes In The Blood of The Lamb</w:t>
      </w:r>
      <w:bookmarkEnd w:id="136"/>
    </w:p>
    <w:p>
      <w:pPr>
        <w:pStyle w:val="BodyVerse"/>
      </w:pPr>
      <w:r>
        <w:rPr>
          <w:b w:val="1"/>
          <w:bCs w:val="1"/>
        </w:rPr>
        <w:t xml:space="preserve">[[@Bible:Re 22:14]] </w:t>
      </w:r>
      <w:r>
        <w:rPr>
          <w:sz w:val="22"/>
          <w:szCs w:val="22"/>
          <w:b w:val="1"/>
          <w:bCs w:val="1"/>
          <w:vertAlign w:val="superscript"/>
        </w:rPr>
        <w:t xml:space="preserve">14  </w:t>
      </w:r>
      <w:r>
        <w:rPr>
          <w:b w:val="1"/>
          <w:bCs w:val="1"/>
        </w:rPr>
        <w:t xml:space="preserve">Blessed</w:t>
      </w:r>
      <w:r>
        <w:rPr/>
        <w:t xml:space="preserve"> </w:t>
      </w:r>
      <w:r>
        <w:rPr>
          <w:rStyle w:val="FootnoteReference"/>
        </w:rPr>
        <w:footnoteReference w:id="821"/>
      </w:r>
      <w:r>
        <w:rPr/>
        <w:t xml:space="preserve"> are </w:t>
      </w:r>
      <w:r>
        <w:rPr>
          <w:b w:val="1"/>
          <w:bCs w:val="1"/>
        </w:rPr>
        <w:t xml:space="preserve">they who wash their robes</w:t>
      </w:r>
      <w:r>
        <w:rPr/>
        <w:t xml:space="preserve"> </w:t>
      </w:r>
      <w:r>
        <w:rPr>
          <w:rStyle w:val="FootnoteReference"/>
        </w:rPr>
        <w:footnoteReference w:id="822"/>
      </w:r>
      <w:r>
        <w:rPr/>
        <w:t xml:space="preserve">, that they may have right to the </w:t>
      </w:r>
      <w:r>
        <w:rPr>
          <w:b w:val="1"/>
          <w:bCs w:val="1"/>
        </w:rPr>
        <w:t xml:space="preserve">tree of life</w:t>
      </w:r>
      <w:r>
        <w:rPr/>
        <w:t xml:space="preserve"> </w:t>
      </w:r>
      <w:r>
        <w:rPr>
          <w:rStyle w:val="FootnoteReference"/>
        </w:rPr>
        <w:footnoteReference w:id="823"/>
      </w:r>
      <w:r>
        <w:rPr/>
        <w:t xml:space="preserve">, and may enter in through the gates into the city.</w:t>
      </w:r>
    </w:p>
    <w:p>
      <w:pPr>
        <w:jc w:val="left"/>
        <w:ind w:left="360" w:right="0" w:firstLine="0" w:hanging="0"/>
        <w:spacing w:after="60"/>
      </w:pPr>
      <w:r>
        <w:rPr>
          <w:sz w:val="18"/>
          <w:szCs w:val="18"/>
          <w:i w:val="1"/>
          <w:iCs w:val="1"/>
        </w:rPr>
        <w:t xml:space="preserve">[fn] "may have 'right'" for "right" here is the Greek word ουσια, which is in english commonly translated as "power" or "authority". However, in English it would seem odd to say "may have 'authority' to the tree of life", we we use "right" instead.</w:t>
      </w:r>
    </w:p>
    <w:p>
      <w:pPr>
        <w:pStyle w:val="BodyVerse"/>
      </w:pPr>
      <w:r>
        <w:rPr>
          <w:b w:val="1"/>
          <w:bCs w:val="1"/>
        </w:rPr>
        <w:t xml:space="preserve">[[@Bible:Re 22:15]] </w:t>
      </w:r>
      <w:r>
        <w:rPr>
          <w:sz w:val="22"/>
          <w:szCs w:val="22"/>
          <w:b w:val="1"/>
          <w:bCs w:val="1"/>
          <w:vertAlign w:val="superscript"/>
        </w:rPr>
        <w:t xml:space="preserve">15  </w:t>
      </w:r>
      <w:r>
        <w:rPr/>
        <w:t xml:space="preserve">For without are </w:t>
      </w:r>
      <w:r>
        <w:rPr>
          <w:b w:val="1"/>
          <w:bCs w:val="1"/>
        </w:rPr>
        <w:t xml:space="preserve">the dogs, and the sorcerers, and the whoremongers, and the murderers, and the idolaters, and whosoever loves and makes a lie</w:t>
      </w:r>
      <w:r>
        <w:rPr/>
        <w:t xml:space="preserve"> </w:t>
      </w:r>
      <w:r>
        <w:rPr>
          <w:rStyle w:val="FootnoteReference"/>
        </w:rPr>
        <w:footnoteReference w:id="824"/>
      </w:r>
      <w:r>
        <w:rPr/>
        <w:t xml:space="preserve">.</w:t>
      </w:r>
    </w:p>
    <w:p>
      <w:pPr>
        <w:pStyle w:val="BodyVerse"/>
      </w:pPr>
      <w:r>
        <w:rPr>
          <w:b w:val="1"/>
          <w:bCs w:val="1"/>
        </w:rPr>
        <w:t xml:space="preserve">[[@Bible:Re 22:16]] </w:t>
      </w:r>
      <w:r>
        <w:rPr>
          <w:sz w:val="22"/>
          <w:szCs w:val="22"/>
          <w:b w:val="1"/>
          <w:bCs w:val="1"/>
          <w:vertAlign w:val="superscript"/>
        </w:rPr>
        <w:t xml:space="preserve">16  </w:t>
      </w:r>
      <w:r>
        <w:rPr/>
        <w:t xml:space="preserve">I, Jesus, have sent mine </w:t>
      </w:r>
      <w:r>
        <w:rPr>
          <w:b w:val="1"/>
          <w:bCs w:val="1"/>
        </w:rPr>
        <w:t xml:space="preserve">messenger</w:t>
      </w:r>
      <w:r>
        <w:rPr/>
        <w:t xml:space="preserve"> </w:t>
      </w:r>
      <w:r>
        <w:rPr>
          <w:rStyle w:val="FootnoteReference"/>
        </w:rPr>
        <w:footnoteReference w:id="825"/>
      </w:r>
      <w:r>
        <w:rPr/>
        <w:t xml:space="preserve"> to testify unto you these things in the churches. I am the </w:t>
      </w:r>
      <w:r>
        <w:rPr>
          <w:b w:val="1"/>
          <w:bCs w:val="1"/>
        </w:rPr>
        <w:t xml:space="preserve">root and the offspring of David</w:t>
      </w:r>
      <w:r>
        <w:rPr/>
        <w:t xml:space="preserve"> </w:t>
      </w:r>
      <w:r>
        <w:rPr>
          <w:rStyle w:val="FootnoteReference"/>
        </w:rPr>
        <w:footnoteReference w:id="826"/>
      </w:r>
      <w:r>
        <w:rPr/>
        <w:t xml:space="preserve">, and the bright and </w:t>
      </w:r>
      <w:r>
        <w:rPr>
          <w:b w:val="1"/>
          <w:bCs w:val="1"/>
        </w:rPr>
        <w:t xml:space="preserve">morning star</w:t>
      </w:r>
      <w:r>
        <w:rPr/>
        <w:t xml:space="preserve"> </w:t>
      </w:r>
      <w:r>
        <w:rPr>
          <w:rStyle w:val="FootnoteReference"/>
        </w:rPr>
        <w:footnoteReference w:id="827"/>
      </w:r>
      <w:r>
        <w:rPr/>
        <w:t xml:space="preserve">.</w:t>
      </w:r>
    </w:p>
    <w:p>
      <w:pPr>
        <w:pStyle w:val="BodyVerse"/>
      </w:pPr>
      <w:r>
        <w:rPr>
          <w:b w:val="1"/>
          <w:bCs w:val="1"/>
        </w:rPr>
        <w:t xml:space="preserve">[[@Bible:Re 22:17]] </w:t>
      </w:r>
      <w:r>
        <w:rPr>
          <w:sz w:val="22"/>
          <w:szCs w:val="22"/>
          <w:b w:val="1"/>
          <w:bCs w:val="1"/>
          <w:vertAlign w:val="superscript"/>
        </w:rPr>
        <w:t xml:space="preserve">17  </w:t>
      </w:r>
      <w:r>
        <w:rPr/>
        <w:t xml:space="preserve">And the Spirit and the bride say, Come. And let him who hears say, Come. And let him who is </w:t>
      </w:r>
      <w:r>
        <w:rPr>
          <w:b w:val="1"/>
          <w:bCs w:val="1"/>
        </w:rPr>
        <w:t xml:space="preserve">athirst</w:t>
      </w:r>
      <w:r>
        <w:rPr/>
        <w:t xml:space="preserve"> </w:t>
      </w:r>
      <w:r>
        <w:rPr>
          <w:rStyle w:val="FootnoteReference"/>
        </w:rPr>
        <w:footnoteReference w:id="828"/>
      </w:r>
      <w:r>
        <w:rPr/>
        <w:t xml:space="preserve"> come. And whosoever will, let him take the </w:t>
      </w:r>
      <w:r>
        <w:rPr>
          <w:b w:val="1"/>
          <w:bCs w:val="1"/>
        </w:rPr>
        <w:t xml:space="preserve">water of life</w:t>
      </w:r>
      <w:r>
        <w:rPr/>
        <w:t xml:space="preserve"> </w:t>
      </w:r>
      <w:r>
        <w:rPr>
          <w:rStyle w:val="FootnoteReference"/>
        </w:rPr>
        <w:footnoteReference w:id="829"/>
      </w:r>
      <w:r>
        <w:rPr/>
        <w:t xml:space="preserve"> freely.</w:t>
      </w:r>
    </w:p>
    <w:p>
      <w:pPr>
        <w:spacing w:after="150"/>
      </w:pPr>
      <w:r>
        <w:rPr/>
        <w:t xml:space="preserve"/>
      </w:r>
    </w:p>
    <w:p>
      <w:pPr>
        <w:pStyle w:val="Heading3"/>
      </w:pPr>
      <w:bookmarkStart w:id="137" w:name="_Toc137"/>
      <w:r>
        <w:t>The Integrity of the Prophetic Word</w:t>
      </w:r>
      <w:bookmarkEnd w:id="137"/>
    </w:p>
    <w:p>
      <w:pPr>
        <w:pStyle w:val="SectionBody"/>
      </w:pPr>
      <w:r>
        <w:rPr>
          <w:b w:val="1"/>
          <w:bCs w:val="1"/>
        </w:rPr>
        <w:t xml:space="preserve">Important Note:</w:t>
      </w:r>
      <w:r>
        <w:rPr/>
        <w:t xml:space="preserve"> While easy to miss, when Revelation 22:18–19 warns, "If any man shall add unto these things, God shall add unto him the plagues that are written in this book," the wording itself raises a serious interpretive question. Why speak of plagues being "added" to someone unless those plagues are not automatically their default portion? This is an issue for anyone who interprets the "coming out of great tribulation" (7:14) occurring after any of the plagues (The first mention of a plague is the 200,000,000 army). The warning assumes a reader who is not, by nature of reading the prophecy faithfully, already destined to receive the judgments described within it. The plagues are presented as judicially imposed upon the one who corrupts the book, not indiscriminately poured upon every hearer. That implication presses us to ask: by what means are the faithful kept from "the plagues that are written in this book"?</w:t>
      </w:r>
    </w:p>
    <w:p>
      <w:pPr>
        <w:pStyle w:val="SectionBody"/>
      </w:pPr>
      <w:r>
        <w:rPr/>
        <w:t xml:space="preserve">Revelation presents two categories of divine protection that must be considered. First, there is the sealing of the servants of God (Revelation 7:3; 9:4), where those marked by the Father are explicitly distinguished from those upon whom the first woe falls. Second, there is the possibility of prior removal from the hour of trial (Revelation 3:10), which likely refers to the pre-tribulational deliverance through a "coming out of great tribulation" event. Whether one sees protection as preservation within the judgments, removal before them, or a combination, depending on God's sovereign purposes, the text clearly implies a distinction: the faithful are not assumed to be recipients of plagues (not just wrath). Participation in the plagues is tied here to rebellion against the prophetic word; it is not a default mode. The default posture of the obedient reader appears to be protection — either by divine sealing, by gathering, or by both — in accordance with God's redemptive design.</w:t>
      </w:r>
    </w:p>
    <w:p>
      <w:pPr>
        <w:pStyle w:val="SectionBody"/>
      </w:pPr>
      <w:r>
        <w:rPr/>
        <w:t xml:space="preserve">This text, then, supports the framework for this study that has been exposited: there are distinct moments of coming out, before and during the tribulation, in Revelation — an early "coming out" and a pre-vial reaping. Revelation consistently shows divine distinction — mercy extended, protection granted, and judgment poured out in stages. Within that pattern, these two gatherings cohere with the book's internal logic of separation and preservation before escalating wrath. Revelation is not merely a book of judgment, but of warning, profound mercy, and perfect justice.</w:t>
      </w:r>
    </w:p>
    <w:p>
      <w:pPr>
        <w:spacing w:after="150"/>
      </w:pPr>
      <w:r>
        <w:rPr/>
        <w:t xml:space="preserve"/>
      </w:r>
    </w:p>
    <w:p>
      <w:pPr>
        <w:pStyle w:val="BodyVerse"/>
      </w:pPr>
      <w:r>
        <w:rPr>
          <w:b w:val="1"/>
          <w:bCs w:val="1"/>
        </w:rPr>
        <w:t xml:space="preserve">[[@Bible:Re 22:18]] </w:t>
      </w:r>
      <w:r>
        <w:rPr>
          <w:sz w:val="22"/>
          <w:szCs w:val="22"/>
          <w:b w:val="1"/>
          <w:bCs w:val="1"/>
          <w:vertAlign w:val="superscript"/>
        </w:rPr>
        <w:t xml:space="preserve">18  </w:t>
      </w:r>
      <w:r>
        <w:rPr/>
        <w:t xml:space="preserve">For I testify unto every man who hears the words of the prophecy of this book, If any man shall add unto these things, God shall add unto him the plagues that are written in this book:</w:t>
      </w:r>
    </w:p>
    <w:p>
      <w:pPr>
        <w:jc w:val="left"/>
        <w:ind w:left="360" w:right="0" w:firstLine="0" w:hanging="0"/>
        <w:spacing w:after="60"/>
      </w:pPr>
      <w:r>
        <w:rPr>
          <w:sz w:val="18"/>
          <w:szCs w:val="18"/>
          <w:i w:val="1"/>
          <w:iCs w:val="1"/>
        </w:rPr>
        <w:t xml:space="preserve">[fn] When he speaks about "plagues" or "great suffering," he is not, by definition, scoping them to anything in particular. He is expecting us to know what plagues or distresses have been described. At times, Revelation is general in its application of terms, such as "holy city" of old and new Jerusalem (11:2, 21:2), and at other times very specific, as in "1260 days," which is always the first half of the 7 years (11:3, 12:6).</w:t>
      </w:r>
    </w:p>
    <w:p>
      <w:pPr>
        <w:jc w:val="left"/>
        <w:ind w:left="360" w:right="0" w:firstLine="0" w:hanging="0"/>
        <w:spacing w:after="60"/>
      </w:pPr>
      <w:r>
        <w:rPr>
          <w:sz w:val="18"/>
          <w:szCs w:val="18"/>
          <w:i w:val="1"/>
          <w:iCs w:val="1"/>
        </w:rPr>
        <w:t xml:space="preserve">[fn] πληγῶν — plague, great suffering, or distress — The first time we see this word, it is with the army of 200,000,000 in 9:18. Thus, the text of Revelation does not explicitly assert that the first five trumpets or the seals are a part of the plagues (πληγῶν). Naming the seals and all the trumpets as plagues would be an interpretive decision based on pattern-driven inference, which the text does not resist, as we see inference in many places. As an example, during the 5th trumpet, "only those men who have not the seal of God in their foreheads" (9:4) are hurt by the locust, inferring the presence of the 144,000 at the time of the 5th trumpet without explicitly testifying to their presence at that time. 
We also see this same type of inference in the 6th seal, when the nations say "the great day of their wrath is come" (6:16-17), yet the text never says that any seals or trumpets are the wrath of God, it is only that the nations are first attribute that classification to the events they experiance at the moment of the 6th seal. Further, in the 6th seal, the nations only say that this is "the great day" of wrath, not that the 6th seal is the only wrath to that point in time. Revelation only describes "God's wrath" explicitly in the vial plagues, in that those vials "finish" or "complete" the wrath of God, but it does not say it starts them. Thus, for the phrase "wrath of God," the text seems to ask us to infer that the wrath of God has another starting point, which need not correlate with the first vial or the time the nations notice "wrath". It would be fair to see all seals, trumpets, and vials as the wrath of God based on that inference. In the same way, as a form of interpretation for inference, we could attribute "plague" to all the seals, trumpets, and vials, which indeed bring distress upon the whole world (stated explicitly or not).</w:t>
      </w:r>
    </w:p>
    <w:p>
      <w:pPr>
        <w:pStyle w:val="BodyVerse"/>
      </w:pPr>
      <w:r>
        <w:rPr>
          <w:b w:val="1"/>
          <w:bCs w:val="1"/>
        </w:rPr>
        <w:t xml:space="preserve">[[@Bible:Re 22:19]] </w:t>
      </w:r>
      <w:r>
        <w:rPr>
          <w:sz w:val="22"/>
          <w:szCs w:val="22"/>
          <w:b w:val="1"/>
          <w:bCs w:val="1"/>
          <w:vertAlign w:val="superscript"/>
        </w:rPr>
        <w:t xml:space="preserve">19  </w:t>
      </w:r>
      <w:r>
        <w:rPr/>
        <w:t xml:space="preserve">And if any man shall take away from the words of the </w:t>
      </w:r>
      <w:r>
        <w:rPr>
          <w:b w:val="1"/>
          <w:bCs w:val="1"/>
        </w:rPr>
        <w:t xml:space="preserve">book of this prophecy</w:t>
      </w:r>
      <w:r>
        <w:rPr/>
        <w:t xml:space="preserve"> </w:t>
      </w:r>
      <w:r>
        <w:rPr>
          <w:rStyle w:val="FootnoteReference"/>
        </w:rPr>
        <w:footnoteReference w:id="830"/>
      </w:r>
      <w:r>
        <w:rPr/>
        <w:t xml:space="preserve">, God shall take away his part out of the </w:t>
      </w:r>
      <w:r>
        <w:rPr>
          <w:b w:val="1"/>
          <w:bCs w:val="1"/>
        </w:rPr>
        <w:t xml:space="preserve">tree of life</w:t>
      </w:r>
      <w:r>
        <w:rPr/>
        <w:t xml:space="preserve"> </w:t>
      </w:r>
      <w:r>
        <w:rPr>
          <w:rStyle w:val="FootnoteReference"/>
        </w:rPr>
        <w:footnoteReference w:id="831"/>
      </w:r>
      <w:r>
        <w:rPr/>
        <w:t xml:space="preserve">, and out of </w:t>
      </w:r>
      <w:r>
        <w:rPr>
          <w:b w:val="1"/>
          <w:bCs w:val="1"/>
        </w:rPr>
        <w:t xml:space="preserve">the holy city</w:t>
      </w:r>
      <w:r>
        <w:rPr/>
        <w:t xml:space="preserve"> </w:t>
      </w:r>
      <w:r>
        <w:rPr>
          <w:rStyle w:val="FootnoteReference"/>
        </w:rPr>
        <w:footnoteReference w:id="832"/>
      </w:r>
      <w:r>
        <w:rPr/>
        <w:t xml:space="preserve">, and from the things which are written in this book.</w:t>
      </w:r>
    </w:p>
    <w:p>
      <w:pPr>
        <w:jc w:val="left"/>
        <w:ind w:left="360" w:right="0" w:firstLine="0" w:hanging="0"/>
        <w:spacing w:after="60"/>
      </w:pPr>
      <w:r>
        <w:rPr>
          <w:sz w:val="18"/>
          <w:szCs w:val="18"/>
          <w:i w:val="1"/>
          <w:iCs w:val="1"/>
        </w:rPr>
        <w:t xml:space="preserve">[fn] Other manuscripts, including the MT and CT, read this as the "tree of life" and not the "book of life". KJV's "book of life" in Revelation 22:19 is essentially unique to the TR and Latin Vulgate tradition. Almost no Greek manuscripts read "book of life" here. The TR inherited a Latin-based reconstruction, not a Greek majority reading.</w:t>
      </w:r>
    </w:p>
    <w:p>
      <w:pPr>
        <w:spacing w:after="150"/>
      </w:pPr>
      <w:r>
        <w:rPr/>
        <w:t xml:space="preserve"/>
      </w:r>
    </w:p>
    <w:p>
      <w:pPr>
        <w:pStyle w:val="Heading3"/>
      </w:pPr>
      <w:bookmarkStart w:id="138" w:name="_Toc138"/>
      <w:r>
        <w:t>I Come Quickly</w:t>
      </w:r>
      <w:bookmarkEnd w:id="138"/>
    </w:p>
    <w:p>
      <w:pPr>
        <w:pStyle w:val="BodyVerse"/>
      </w:pPr>
      <w:r>
        <w:rPr>
          <w:b w:val="1"/>
          <w:bCs w:val="1"/>
        </w:rPr>
        <w:t xml:space="preserve">[[@Bible:Re 22:20]] </w:t>
      </w:r>
      <w:r>
        <w:rPr>
          <w:sz w:val="22"/>
          <w:szCs w:val="22"/>
          <w:b w:val="1"/>
          <w:bCs w:val="1"/>
          <w:vertAlign w:val="superscript"/>
        </w:rPr>
        <w:t xml:space="preserve">20  </w:t>
      </w:r>
      <w:r>
        <w:rPr/>
        <w:t xml:space="preserve">He who testifies these things says, Surely I come </w:t>
      </w:r>
      <w:r>
        <w:rPr>
          <w:b w:val="1"/>
          <w:bCs w:val="1"/>
        </w:rPr>
        <w:t xml:space="preserve">quickly</w:t>
      </w:r>
      <w:r>
        <w:rPr/>
        <w:t xml:space="preserve"> </w:t>
      </w:r>
      <w:r>
        <w:rPr>
          <w:rStyle w:val="FootnoteReference"/>
        </w:rPr>
        <w:footnoteReference w:id="833"/>
      </w:r>
      <w:r>
        <w:rPr/>
        <w:t xml:space="preserve">. Amen. Even so, come, Lord Jesus.</w:t>
      </w:r>
    </w:p>
    <w:p>
      <w:pPr>
        <w:spacing w:after="150"/>
      </w:pPr>
      <w:r>
        <w:rPr/>
        <w:t xml:space="preserve"/>
      </w:r>
    </w:p>
    <w:p>
      <w:pPr>
        <w:pStyle w:val="Heading3"/>
      </w:pPr>
      <w:bookmarkStart w:id="139" w:name="_Toc139"/>
      <w:r>
        <w:t>John's Closing Remark</w:t>
      </w:r>
      <w:bookmarkEnd w:id="139"/>
    </w:p>
    <w:p>
      <w:pPr>
        <w:pStyle w:val="BodyVerse"/>
      </w:pPr>
      <w:r>
        <w:rPr>
          <w:b w:val="1"/>
          <w:bCs w:val="1"/>
        </w:rPr>
        <w:t xml:space="preserve">[[@Bible:Re 22:21]] </w:t>
      </w:r>
      <w:r>
        <w:rPr>
          <w:sz w:val="22"/>
          <w:szCs w:val="22"/>
          <w:b w:val="1"/>
          <w:bCs w:val="1"/>
          <w:vertAlign w:val="superscript"/>
        </w:rPr>
        <w:t xml:space="preserve">21  </w:t>
      </w:r>
      <w:r>
        <w:rPr/>
        <w:t xml:space="preserve">The grace of our Lord Jesus Christ be with you all. Amen.</w:t>
      </w:r>
    </w:p>
    <w:p>
      <w:pPr>
        <w:spacing w:after="300"/>
      </w:pPr>
      <w:r>
        <w:rPr/>
        <w:t xml:space="preserve"/>
      </w:r>
    </w:p>
    <w:p>
      <w:pPr>
        <w:jc w:val="center"/>
        <w:spacing w:before="120" w:after="60"/>
      </w:pPr>
      <w:r>
        <w:rPr>
          <w:sz w:val="36"/>
          <w:szCs w:val="36"/>
          <w:b w:val="1"/>
          <w:bCs w:val="1"/>
        </w:rPr>
        <w:t xml:space="preserve">✶</w:t>
      </w:r>
    </w:p>
    <w:p>
      <w:pPr>
        <w:pStyle w:val="SectionBody"/>
      </w:pPr>
      <w:r>
        <w:rPr/>
        <w:t xml:space="preserve">Copyright Kevin Dees. All rights reserved.</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 — "sent my messenger"</w:t>
      </w:r>
    </w:p>
  </w:footnote>
  <w:footnote w:id="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 — "prophecy of this book."</w:t>
      </w:r>
    </w:p>
  </w:footnote>
  <w:footnote w:id="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Bookending — "time is at hand."</w:t>
      </w:r>
    </w:p>
  </w:footnote>
  <w:footnote w:id="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1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r>
        <w:rPr>
          <w:sz w:val="18"/>
          <w:szCs w:val="18"/>
        </w:rPr>
        <w:t xml:space="preserve">, </w:t>
      </w:r>
      <w:r>
        <w:rPr>
          <w:sz w:val="18"/>
          <w:szCs w:val="18"/>
        </w:rPr>
        <w:t xml:space="preserve">[[Bible:Daniel 7:13]]</w:t>
      </w:r>
      <w:r>
        <w:rPr>
          <w:sz w:val="18"/>
          <w:szCs w:val="18"/>
          <w:i w:val="1"/>
          <w:iCs w:val="1"/>
        </w:rPr>
        <w:t xml:space="preserve"> — Jesus coming in the clouds.</w:t>
      </w:r>
    </w:p>
  </w:footnote>
  <w:footnote w:id="17">
    <w:p>
      <w:r>
        <w:rPr>
          <w:rStyle w:val="FootnoteReference"/>
        </w:rPr>
        <w:footnoteRef/>
      </w:r>
      <w:r>
        <w:t xml:space="preserve"> </w:t>
      </w:r>
      <w:r>
        <w:rPr>
          <w:sz w:val="18"/>
          <w:szCs w:val="18"/>
        </w:rPr>
        <w:t xml:space="preserve">[[Bible:John 19:37]]</w:t>
      </w:r>
      <w:r>
        <w:rPr>
          <w:sz w:val="18"/>
          <w:szCs w:val="18"/>
        </w:rPr>
        <w:t xml:space="preserve">, </w:t>
      </w:r>
      <w:r>
        <w:rPr>
          <w:sz w:val="18"/>
          <w:szCs w:val="18"/>
        </w:rPr>
        <w:t xml:space="preserve">[[Bible:Zechariah 12:10]]</w:t>
      </w:r>
      <w:r>
        <w:rPr>
          <w:sz w:val="18"/>
          <w:szCs w:val="18"/>
          <w:i w:val="1"/>
          <w:iCs w:val="1"/>
        </w:rPr>
        <w:t xml:space="preserve"> — This is making it very clear the type of death Jesus died and connecting him to the person who is coming in the clouds.</w:t>
      </w:r>
    </w:p>
  </w:footnote>
  <w:footnote w:id="1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The Father and Jesus share this title.</w:t>
      </w:r>
    </w:p>
  </w:footnote>
  <w:footnote w:id="1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20">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1">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2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23">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r>
        <w:rPr>
          <w:sz w:val="18"/>
          <w:szCs w:val="18"/>
          <w:i w:val="1"/>
          <w:iCs w:val="1"/>
        </w:rPr>
        <w:t xml:space="preserve"> — Message to specific churches.</w:t>
      </w:r>
    </w:p>
  </w:footnote>
  <w:footnote w:id="2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i w:val="1"/>
          <w:iCs w:val="1"/>
        </w:rPr>
        <w:t xml:space="preserve"> — From λύχνος, meaning an lamp.</w:t>
      </w:r>
    </w:p>
  </w:footnote>
  <w:footnote w:id="2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26">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2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Jesus is girded about the μαστοῖς "mastos", the upper chest, not the loins here. In 15:6, seven messengers have the same type of dressage.</w:t>
      </w:r>
    </w:p>
  </w:footnote>
  <w:footnote w:id="28">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2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0">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3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3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3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r>
        <w:rPr>
          <w:sz w:val="18"/>
          <w:szCs w:val="18"/>
          <w:i w:val="1"/>
          <w:iCs w:val="1"/>
        </w:rPr>
        <w:t xml:space="preserve"> — This is like the woman with the 12 stars, but they are not the same. The 7 stars seem to represent the gentile church leaders, and the 12 stars represent the tribes of Israel.</w:t>
      </w:r>
    </w:p>
  </w:footnote>
  <w:footnote w:id="3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3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6">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[[Bible:Daniel 8:17-18]]</w:t>
      </w:r>
      <w:r>
        <w:rPr>
          <w:sz w:val="18"/>
          <w:szCs w:val="18"/>
        </w:rPr>
        <w:t xml:space="preserve">, </w:t>
      </w:r>
      <w:r>
        <w:rPr>
          <w:sz w:val="18"/>
          <w:szCs w:val="18"/>
        </w:rPr>
        <w:t xml:space="preserve">[[Bible:Daniel 10:7-9]]</w:t>
      </w:r>
      <w:r>
        <w:rPr>
          <w:sz w:val="18"/>
          <w:szCs w:val="18"/>
        </w:rPr>
        <w:t xml:space="preserve">, </w:t>
      </w:r>
      <w:r>
        <w:rPr>
          <w:sz w:val="18"/>
          <w:szCs w:val="18"/>
        </w:rPr>
        <w:t xml:space="preserve">[[Bible:Matthew 17:5-7]]</w:t>
      </w:r>
      <w:r>
        <w:rPr>
          <w:sz w:val="18"/>
          <w:szCs w:val="18"/>
        </w:rPr>
        <w:t xml:space="preserve">, </w:t>
      </w:r>
      <w:r>
        <w:rPr>
          <w:sz w:val="18"/>
          <w:szCs w:val="18"/>
        </w:rPr>
        <w:t xml:space="preserve">[[Bible:Ezekiel 1:28]]</w:t>
      </w:r>
      <w:r>
        <w:rPr>
          <w:sz w:val="18"/>
          <w:szCs w:val="18"/>
        </w:rPr>
        <w:t xml:space="preserve">, </w:t>
      </w:r>
      <w:r>
        <w:rPr>
          <w:sz w:val="18"/>
          <w:szCs w:val="18"/>
        </w:rPr>
        <w:t xml:space="preserve">[[Bible:Acts 9:3-4]]</w:t>
      </w:r>
      <w:r>
        <w:rPr>
          <w:sz w:val="18"/>
          <w:szCs w:val="18"/>
        </w:rPr>
        <w:t xml:space="preserve">, </w:t>
      </w:r>
      <w:r>
        <w:rPr>
          <w:sz w:val="18"/>
          <w:szCs w:val="18"/>
        </w:rPr>
        <w:t xml:space="preserve">[[Bible:Judges 13:20-22]]</w:t>
      </w:r>
    </w:p>
  </w:footnote>
  <w:footnote w:id="3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3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3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r>
        <w:rPr>
          <w:sz w:val="18"/>
          <w:szCs w:val="18"/>
          <w:i w:val="1"/>
          <w:iCs w:val="1"/>
        </w:rPr>
        <w:t xml:space="preserve"> — Dead or slain</w:t>
      </w:r>
    </w:p>
  </w:footnote>
  <w:footnote w:id="4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Keys</w:t>
      </w:r>
    </w:p>
  </w:footnote>
  <w:footnote w:id="4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4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4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r>
        <w:rPr>
          <w:sz w:val="18"/>
          <w:szCs w:val="18"/>
          <w:i w:val="1"/>
          <w:iCs w:val="1"/>
        </w:rPr>
        <w:t xml:space="preserve"> — The primary direction of the word of Revelation is for the future. However, it is set in the context of the current time. Notably, the past is not the concern of the book of Revelation, so we will not see anything here from John's time into the past.</w:t>
      </w:r>
    </w:p>
  </w:footnote>
  <w:footnote w:id="4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4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4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4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r>
        <w:rPr>
          <w:sz w:val="18"/>
          <w:szCs w:val="18"/>
        </w:rPr>
        <w:t xml:space="preserve">, </w:t>
      </w:r>
      <w:r>
        <w:rPr>
          <w:sz w:val="18"/>
          <w:szCs w:val="18"/>
        </w:rPr>
        <w:t xml:space="preserve">[[Bible:Re 4:5]]</w:t>
      </w:r>
    </w:p>
  </w:footnote>
  <w:footnote w:id="49">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We see three sets of seven messengers in Revelation.</w:t>
      </w:r>
    </w:p>
  </w:footnote>
  <w:footnote w:id="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5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5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5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55">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56">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57">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5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60">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61">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Ephesus hates evil teachers</w:t>
      </w:r>
    </w:p>
  </w:footnote>
  <w:footnote w:id="6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6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6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65">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6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67">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6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69">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7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7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7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73">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7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7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7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7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9">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p>
  </w:footnote>
  <w:footnote w:id="8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81">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82">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83">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Pergamum has some evil teachers.</w:t>
      </w:r>
    </w:p>
  </w:footnote>
  <w:footnote w:id="84">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85">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8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8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8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8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90">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The Greek points to a white stone with a new name written on it; by itself, it does not indicate whether the name is the person's own or another's.</w:t>
      </w:r>
    </w:p>
  </w:footnote>
  <w:footnote w:id="9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92">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93">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9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9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96">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97">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8">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0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0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02">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r>
        <w:rPr>
          <w:sz w:val="18"/>
          <w:szCs w:val="18"/>
          <w:i w:val="1"/>
          <w:iCs w:val="1"/>
        </w:rPr>
        <w:t xml:space="preserve"> — This links the saints to the later armies that follow Jesus when he appears on a white horse</w:t>
      </w:r>
    </w:p>
  </w:footnote>
  <w:footnote w:id="103">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10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0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0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07">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0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109">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1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12">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13">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p>
  </w:footnote>
  <w:footnote w:id="11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1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16">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17">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11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11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2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2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2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w:t>
      </w:r>
    </w:p>
  </w:footnote>
  <w:footnote w:id="123">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2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2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26">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p>
  </w:footnote>
  <w:footnote w:id="127">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p>
  </w:footnote>
  <w:footnote w:id="128">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12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30">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131">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132">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33">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34">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13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3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137">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Not the same as the stone but might be the same name on the stone.</w:t>
      </w:r>
    </w:p>
  </w:footnote>
  <w:footnote w:id="13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3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40">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4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4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43">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44">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45">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3:18]]</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46">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4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8">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49">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r>
        <w:rPr>
          <w:sz w:val="18"/>
          <w:szCs w:val="18"/>
          <w:i w:val="1"/>
          <w:iCs w:val="1"/>
        </w:rPr>
        <w:t xml:space="preserve"> — This is very soft on the door being the one into heaven, yet because of the supper, it might be connected.</w:t>
      </w:r>
    </w:p>
  </w:footnote>
  <w:footnote w:id="15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5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r>
        <w:rPr>
          <w:sz w:val="18"/>
          <w:szCs w:val="18"/>
          <w:i w:val="1"/>
          <w:iCs w:val="1"/>
        </w:rPr>
        <w:t xml:space="preserve"> — Jesus has overcome and the church can too</w:t>
      </w:r>
    </w:p>
  </w:footnote>
  <w:footnote w:id="15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15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5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55">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4:1]]</w:t>
      </w:r>
    </w:p>
  </w:footnote>
  <w:footnote w:id="156">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157">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p>
  </w:footnote>
  <w:footnote w:id="15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159">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160">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6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6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63">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This triad might be telling us that the seals, trumpets, and vials come from the throne, which implies they are all can be classified as judgment from the one who sits on the throne.</w:t>
      </w:r>
    </w:p>
  </w:footnote>
  <w:footnote w:id="164">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65">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10:3]]</w:t>
      </w:r>
      <w:r>
        <w:rPr>
          <w:sz w:val="18"/>
          <w:szCs w:val="18"/>
          <w:i w:val="1"/>
          <w:iCs w:val="1"/>
        </w:rPr>
        <w:t xml:space="preserve"> — This is a massive leap in interpretation, but proximity suggests that the seven Spirits of God might be the thundering voices in 10:3.</w:t>
      </w:r>
    </w:p>
  </w:footnote>
  <w:footnote w:id="16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p>
  </w:footnote>
  <w:footnote w:id="16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68">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69">
    <w:p>
      <w:r>
        <w:rPr>
          <w:rStyle w:val="FootnoteReference"/>
        </w:rPr>
        <w:footnoteRef/>
      </w:r>
      <w:r>
        <w:t xml:space="preserve"> </w:t>
      </w:r>
      <w:r>
        <w:rPr>
          <w:sz w:val="18"/>
          <w:szCs w:val="18"/>
        </w:rPr>
        <w:t xml:space="preserve">[[Bible:Isaiah 6:3]]</w:t>
      </w:r>
    </w:p>
  </w:footnote>
  <w:footnote w:id="17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7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72">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73">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74">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7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76">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17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78">
    <w:p>
      <w:r>
        <w:rPr>
          <w:rStyle w:val="FootnoteReference"/>
        </w:rPr>
        <w:footnoteRef/>
      </w:r>
      <w:r>
        <w:t xml:space="preserve"> </w:t>
      </w:r>
      <w:r>
        <w:rPr>
          <w:sz w:val="18"/>
          <w:szCs w:val="18"/>
        </w:rPr>
        <w:t xml:space="preserve">[[Bible:Re 5:1-9]]</w:t>
      </w:r>
    </w:p>
  </w:footnote>
  <w:footnote w:id="179">
    <w:p>
      <w:r>
        <w:rPr>
          <w:rStyle w:val="FootnoteReference"/>
        </w:rPr>
        <w:footnoteRef/>
      </w:r>
      <w:r>
        <w:t xml:space="preserve"> </w:t>
      </w:r>
      <w:r>
        <w:rPr>
          <w:sz w:val="18"/>
          <w:szCs w:val="18"/>
        </w:rPr>
        <w:t xml:space="preserve">[[Bible:Daniel 12:4]]</w:t>
      </w:r>
    </w:p>
  </w:footnote>
  <w:footnote w:id="180">
    <w:p>
      <w:r>
        <w:rPr>
          <w:rStyle w:val="FootnoteReference"/>
        </w:rPr>
        <w:footnoteRef/>
      </w:r>
      <w:r>
        <w:t xml:space="preserve"> </w:t>
      </w:r>
      <w:r>
        <w:rPr>
          <w:sz w:val="18"/>
          <w:szCs w:val="18"/>
        </w:rPr>
        <w:t xml:space="preserve">[[Bible:Re 5:1-9]]</w:t>
      </w:r>
    </w:p>
  </w:footnote>
  <w:footnote w:id="181">
    <w:p>
      <w:r>
        <w:rPr>
          <w:rStyle w:val="FootnoteReference"/>
        </w:rPr>
        <w:footnoteRef/>
      </w:r>
      <w:r>
        <w:t xml:space="preserve"> </w:t>
      </w:r>
      <w:r>
        <w:rPr>
          <w:sz w:val="18"/>
          <w:szCs w:val="18"/>
        </w:rPr>
        <w:t xml:space="preserve">[[Bible:Re 5:1-9]]</w:t>
      </w:r>
    </w:p>
  </w:footnote>
  <w:footnote w:id="182">
    <w:p>
      <w:r>
        <w:rPr>
          <w:rStyle w:val="FootnoteReference"/>
        </w:rPr>
        <w:footnoteRef/>
      </w:r>
      <w:r>
        <w:t xml:space="preserve"> </w:t>
      </w:r>
      <w:r>
        <w:rPr>
          <w:sz w:val="18"/>
          <w:szCs w:val="18"/>
        </w:rPr>
        <w:t xml:space="preserve">[[Bible:Re 5:1-9]]</w:t>
      </w:r>
    </w:p>
  </w:footnote>
  <w:footnote w:id="18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p>
  </w:footnote>
  <w:footnote w:id="184">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185">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86">
    <w:p>
      <w:r>
        <w:rPr>
          <w:rStyle w:val="FootnoteReference"/>
        </w:rPr>
        <w:footnoteRef/>
      </w:r>
      <w:r>
        <w:t xml:space="preserve"> </w:t>
      </w:r>
      <w:r>
        <w:rPr>
          <w:sz w:val="18"/>
          <w:szCs w:val="18"/>
        </w:rPr>
        <w:t xml:space="preserve">[[Bible:Re 5:1-9]]</w:t>
      </w:r>
    </w:p>
  </w:footnote>
  <w:footnote w:id="18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8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9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9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92">
    <w:p>
      <w:r>
        <w:rPr>
          <w:rStyle w:val="FootnoteReference"/>
        </w:rPr>
        <w:footnoteRef/>
      </w:r>
      <w:r>
        <w:t xml:space="preserve"> </w:t>
      </w:r>
      <w:r>
        <w:rPr>
          <w:sz w:val="18"/>
          <w:szCs w:val="18"/>
        </w:rPr>
        <w:t xml:space="preserve">[[Bible:Re 5:1-9]]</w:t>
      </w:r>
    </w:p>
  </w:footnote>
  <w:footnote w:id="19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95">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19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p>
  </w:footnote>
  <w:footnote w:id="197">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14:3]]</w:t>
      </w:r>
    </w:p>
  </w:footnote>
  <w:footnote w:id="198">
    <w:p>
      <w:r>
        <w:rPr>
          <w:rStyle w:val="FootnoteReference"/>
        </w:rPr>
        <w:footnoteRef/>
      </w:r>
      <w:r>
        <w:t xml:space="preserve"> </w:t>
      </w:r>
      <w:r>
        <w:rPr>
          <w:sz w:val="18"/>
          <w:szCs w:val="18"/>
        </w:rPr>
        <w:t xml:space="preserve">[[Bible:Re 5:1-9]]</w:t>
      </w:r>
    </w:p>
  </w:footnote>
  <w:footnote w:id="19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00">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14:3]]</w:t>
      </w:r>
      <w:r>
        <w:rPr>
          <w:sz w:val="18"/>
          <w:szCs w:val="18"/>
        </w:rPr>
        <w:t xml:space="preserve">, </w:t>
      </w:r>
      <w:r>
        <w:rPr>
          <w:sz w:val="18"/>
          <w:szCs w:val="18"/>
        </w:rPr>
        <w:t xml:space="preserve">[[Bible:Re 14:4]]</w:t>
      </w:r>
    </w:p>
  </w:footnote>
  <w:footnote w:id="20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02">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w:t>
      </w:r>
    </w:p>
  </w:footnote>
  <w:footnote w:id="203">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7:9]]</w:t>
      </w:r>
    </w:p>
  </w:footnote>
  <w:footnote w:id="20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4:4]]</w:t>
      </w:r>
      <w:r>
        <w:rPr>
          <w:sz w:val="18"/>
          <w:szCs w:val="18"/>
        </w:rPr>
        <w:t xml:space="preserve">, </w:t>
      </w:r>
      <w:r>
        <w:rPr>
          <w:sz w:val="18"/>
          <w:szCs w:val="18"/>
        </w:rPr>
        <w:t xml:space="preserve">[[Bible:Re 5:10]]</w:t>
      </w:r>
    </w:p>
  </w:footnote>
  <w:footnote w:id="205">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5:12]]</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0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07">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08">
    <w:p>
      <w:r>
        <w:rPr>
          <w:rStyle w:val="FootnoteReference"/>
        </w:rPr>
        <w:footnoteRef/>
      </w:r>
      <w:r>
        <w:t xml:space="preserve"> </w:t>
      </w:r>
      <w:r>
        <w:rPr>
          <w:sz w:val="18"/>
          <w:szCs w:val="18"/>
        </w:rPr>
        <w:t xml:space="preserve">[[Bible:Daniel 7:9-10]]</w:t>
      </w:r>
    </w:p>
  </w:footnote>
  <w:footnote w:id="20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10">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11">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212">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[[Bible:Psalm 146]]</w:t>
      </w:r>
    </w:p>
  </w:footnote>
  <w:footnote w:id="213">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21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1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1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This "thunder" βροντή and βροντης is a description of loudness.</w:t>
      </w:r>
    </w:p>
  </w:footnote>
  <w:footnote w:id="219">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connected to the four horsemen.</w:t>
      </w:r>
    </w:p>
  </w:footnote>
  <w:footnote w:id="221">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3">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4">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5">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2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7:1]]</w:t>
      </w:r>
    </w:p>
  </w:footnote>
  <w:footnote w:id="22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230">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r>
        <w:rPr>
          <w:sz w:val="18"/>
          <w:szCs w:val="18"/>
          <w:i w:val="1"/>
          <w:iCs w:val="1"/>
        </w:rPr>
        <w:t xml:space="preserve"> — These are not those on the sea of glass; they are under the altar and should not be confused with the satins of 51:1-2. This group appears to be the group raised at the first resurrection, which comes after all the vials are poured out and the sea beast goes into the lake of fire.</w:t>
      </w:r>
    </w:p>
  </w:footnote>
  <w:footnote w:id="231">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23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233">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10:6]]</w:t>
      </w:r>
      <w:r>
        <w:rPr>
          <w:sz w:val="18"/>
          <w:szCs w:val="18"/>
        </w:rPr>
        <w:t xml:space="preserve">, </w:t>
      </w:r>
      <w:r>
        <w:rPr>
          <w:sz w:val="18"/>
          <w:szCs w:val="18"/>
        </w:rPr>
        <w:t xml:space="preserve">[[Bible:Re 11:15]]</w:t>
      </w:r>
    </w:p>
  </w:footnote>
  <w:footnote w:id="23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35">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236">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14:13]]</w:t>
      </w:r>
    </w:p>
  </w:footnote>
  <w:footnote w:id="23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10:6]]</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238">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39">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13:10]]</w:t>
      </w:r>
    </w:p>
  </w:footnote>
  <w:footnote w:id="240">
    <w:p>
      <w:r>
        <w:rPr>
          <w:rStyle w:val="FootnoteReference"/>
        </w:rPr>
        <w:footnoteRef/>
      </w:r>
      <w:r>
        <w:t xml:space="preserve"> </w:t>
      </w:r>
      <w:r>
        <w:rPr>
          <w:sz w:val="18"/>
          <w:szCs w:val="18"/>
        </w:rPr>
        <w:t xml:space="preserve">[[Bible:Joel 2:31]]</w:t>
      </w:r>
    </w:p>
  </w:footnote>
  <w:footnote w:id="241">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p>
  </w:footnote>
  <w:footnote w:id="24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243">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244">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p>
  </w:footnote>
  <w:footnote w:id="245">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p>
  </w:footnote>
  <w:footnote w:id="246">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8">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14:1]]</w:t>
      </w:r>
    </w:p>
  </w:footnote>
  <w:footnote w:id="249">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250">
    <w:p>
      <w:r>
        <w:rPr>
          <w:rStyle w:val="FootnoteReference"/>
        </w:rPr>
        <w:footnoteRef/>
      </w:r>
      <w:r>
        <w:t xml:space="preserve"> </w:t>
      </w:r>
      <w:r>
        <w:rPr>
          <w:sz w:val="18"/>
          <w:szCs w:val="18"/>
        </w:rPr>
        <w:t xml:space="preserve">[[Bible:Ezekiel 9]]</w:t>
      </w:r>
    </w:p>
  </w:footnote>
  <w:footnote w:id="251">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r>
        <w:rPr>
          <w:sz w:val="18"/>
          <w:szCs w:val="18"/>
          <w:i w:val="1"/>
          <w:iCs w:val="1"/>
        </w:rPr>
        <w:t xml:space="preserve"> — These four messengers in 7:2 may initially feel similar to the first four of the seven trumpet messengers in Revelation 8. In 8:6-12, using wind instruments, the first four angels hurt the earth's grass and trees, the sea, the fresh waters, and the heavens. However, the four messengers in 7:2 are not four out of seven messengers (a subset); they are the foremost four out of four messengers, according to the text. Thus, these two groups, the seven messengers of 8:6-12 and the four of 7:2, should not be conflated without first exploring other, more fitting examples like the four beasts that summon the 4 horsemen.</w:t>
      </w:r>
    </w:p>
  </w:footnote>
  <w:footnote w:id="25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angels are the four beasts, and the four winds are the four horsemen coming from the four winds.</w:t>
      </w:r>
    </w:p>
  </w:footnote>
  <w:footnote w:id="253">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p>
  </w:footnote>
  <w:footnote w:id="254">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255">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12:1]]</w:t>
      </w:r>
      <w:r>
        <w:rPr>
          <w:sz w:val="18"/>
          <w:szCs w:val="18"/>
        </w:rPr>
        <w:t xml:space="preserve">, </w:t>
      </w:r>
      <w:r>
        <w:rPr>
          <w:sz w:val="18"/>
          <w:szCs w:val="18"/>
        </w:rPr>
        <w:t xml:space="preserve">[[Bible:Re 14:1]]</w:t>
      </w:r>
    </w:p>
  </w:footnote>
  <w:footnote w:id="25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257">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 — this is not a future moment of the 144,000. This is a distinct group from them.</w:t>
      </w:r>
    </w:p>
  </w:footnote>
  <w:footnote w:id="258">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5:9]]</w:t>
      </w:r>
    </w:p>
  </w:footnote>
  <w:footnote w:id="259">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7:15]]</w:t>
      </w:r>
    </w:p>
  </w:footnote>
  <w:footnote w:id="260">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61">
    <w:p>
      <w:r>
        <w:rPr>
          <w:rStyle w:val="FootnoteReference"/>
        </w:rPr>
        <w:footnoteRef/>
      </w:r>
      <w:r>
        <w:t xml:space="preserve"> </w:t>
      </w:r>
      <w:r>
        <w:rPr>
          <w:sz w:val="18"/>
          <w:szCs w:val="18"/>
        </w:rPr>
        <w:t xml:space="preserve">[[Bible:Psalm 92:12]]</w:t>
      </w:r>
      <w:r>
        <w:rPr>
          <w:sz w:val="18"/>
          <w:szCs w:val="18"/>
        </w:rPr>
        <w:t xml:space="preserve">, </w:t>
      </w:r>
      <w:r>
        <w:rPr>
          <w:sz w:val="18"/>
          <w:szCs w:val="18"/>
        </w:rPr>
        <w:t xml:space="preserve">[[Bible:John 12:13]]</w:t>
      </w:r>
      <w:r>
        <w:rPr>
          <w:sz w:val="18"/>
          <w:szCs w:val="18"/>
          <w:i w:val="1"/>
          <w:iCs w:val="1"/>
        </w:rPr>
        <w:t xml:space="preserve"> — Palms — The symbol of victory and salvation. Note these do not have harps; this does not mean they never could. Song singers in Revelation hold harps exclusively. It seems the object of salvation is this great multitude with palms. In all instances of the salvation proclamation, only these have palms. Which seems like a signal to the object of all of those salvation proclamations. Thus each of the salvation proclamations in 12 and 19 could point us back to this group.</w:t>
      </w:r>
    </w:p>
  </w:footnote>
  <w:footnote w:id="262">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12:10]]</w:t>
      </w:r>
      <w:r>
        <w:rPr>
          <w:sz w:val="18"/>
          <w:szCs w:val="18"/>
        </w:rPr>
        <w:t xml:space="preserve">, </w:t>
      </w:r>
      <w:r>
        <w:rPr>
          <w:sz w:val="18"/>
          <w:szCs w:val="18"/>
        </w:rPr>
        <w:t xml:space="preserve">[[Bible:Re 19:1]]</w:t>
      </w:r>
    </w:p>
  </w:footnote>
  <w:footnote w:id="263">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7:12]]</w:t>
      </w:r>
    </w:p>
  </w:footnote>
  <w:footnote w:id="26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6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6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67">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7:11]]</w:t>
      </w:r>
    </w:p>
  </w:footnote>
  <w:footnote w:id="268">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r>
        <w:rPr>
          <w:sz w:val="18"/>
          <w:szCs w:val="18"/>
          <w:i w:val="1"/>
          <w:iCs w:val="1"/>
        </w:rPr>
        <w:t xml:space="preserve"> — This clearly distinguishes the 24 elders from the saints. The 24 elders do not represent the saints in Revelation 5. Though they might be saints.</w:t>
      </w:r>
    </w:p>
  </w:footnote>
  <w:footnote w:id="269">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70">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18:4]]</w:t>
      </w:r>
    </w:p>
  </w:footnote>
  <w:footnote w:id="271">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272">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12:11]]</w:t>
      </w:r>
    </w:p>
  </w:footnote>
  <w:footnote w:id="27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74">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7:9]]</w:t>
      </w:r>
    </w:p>
  </w:footnote>
  <w:footnote w:id="275">
    <w:p>
      <w:r>
        <w:rPr>
          <w:rStyle w:val="FootnoteReference"/>
        </w:rPr>
        <w:footnoteRef/>
      </w:r>
      <w:r>
        <w:t xml:space="preserve"> </w:t>
      </w:r>
      <w:r>
        <w:rPr>
          <w:sz w:val="18"/>
          <w:szCs w:val="18"/>
        </w:rPr>
        <w:t xml:space="preserve">[[Bible:Re 7:9]]</w:t>
      </w:r>
      <w:r>
        <w:rPr>
          <w:sz w:val="18"/>
          <w:szCs w:val="18"/>
        </w:rPr>
        <w:t xml:space="preserve">, </w:t>
      </w:r>
      <w:r>
        <w:rPr>
          <w:sz w:val="18"/>
          <w:szCs w:val="18"/>
        </w:rPr>
        <w:t xml:space="preserve">[[Bible:Re 7:11]]</w:t>
      </w:r>
      <w:r>
        <w:rPr>
          <w:sz w:val="18"/>
          <w:szCs w:val="18"/>
        </w:rPr>
        <w:t xml:space="preserve">, </w:t>
      </w:r>
      <w:r>
        <w:rPr>
          <w:sz w:val="18"/>
          <w:szCs w:val="18"/>
        </w:rPr>
        <w:t xml:space="preserve">[[Bible:Re 7:15]]</w:t>
      </w:r>
    </w:p>
  </w:footnote>
  <w:footnote w:id="27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277">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21:22]]</w:t>
      </w:r>
    </w:p>
  </w:footnote>
  <w:footnote w:id="278">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r>
        <w:rPr>
          <w:sz w:val="18"/>
          <w:szCs w:val="18"/>
          <w:i w:val="1"/>
          <w:iCs w:val="1"/>
        </w:rPr>
        <w:t xml:space="preserve"> — Connects to the water of life</w:t>
      </w:r>
    </w:p>
  </w:footnote>
  <w:footnote w:id="279">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280">
    <w:p>
      <w:r>
        <w:rPr>
          <w:rStyle w:val="FootnoteReference"/>
        </w:rPr>
        <w:footnoteRef/>
      </w:r>
      <w:r>
        <w:t xml:space="preserve"> </w:t>
      </w:r>
      <w:r>
        <w:rPr>
          <w:sz w:val="18"/>
          <w:szCs w:val="18"/>
        </w:rPr>
        <w:t xml:space="preserve">[[Bible:Rev 8:1]]</w:t>
      </w:r>
      <w:r>
        <w:rPr>
          <w:sz w:val="18"/>
          <w:szCs w:val="18"/>
        </w:rPr>
        <w:t xml:space="preserve">, </w:t>
      </w:r>
      <w:r>
        <w:rPr>
          <w:sz w:val="18"/>
          <w:szCs w:val="18"/>
        </w:rPr>
        <w:t xml:space="preserve">[[Bible:Zephaniah 1:7]]</w:t>
      </w:r>
      <w:r>
        <w:rPr>
          <w:sz w:val="18"/>
          <w:szCs w:val="18"/>
          <w:i w:val="1"/>
          <w:iCs w:val="1"/>
        </w:rPr>
        <w:t xml:space="preserve"> — ημιωριον — half an hour — Interestingly, this is the only place in the New Testament where ημιωριον is used. The theme here seems to fit Zephaniah 1:7 "Hold thy peace at the presence of the Lord GOD: For the day of the LORD is at hand: For the LORD hath prepared a sacrifice, He hath bid his guests." While this is almost certainly made out to be 30 minutes, it is suspiciously placed near the middle of "the hour of judgments" in the 7-year tribulation. Could this be a poetic double entendre? 
Was there "silence in heaven before the wrath begins for half an hour at the half point of the hour of judgment in the 7-year tribulation?" We are not told, nor is it critical to us, that we try to interpret what is being said too deeply. But it does attest to the book of Revelation's high level of structure.
Now, not every word (like ημιωριον) is meant to be astonishing, and not every connection is meant to be bound together. Drawing out of the text what it does not clearly say must be done with extra care, even if it aligns with a particular interpretive framework. Thus, using this as evidence for the contention that this is the middle of the great tribulation is a leap, and an unnecessary one, since a mountain of other evidence already points to this moment of the 7 trumpets being near the middle of the tribulation.</w:t>
      </w:r>
    </w:p>
  </w:footnote>
  <w:footnote w:id="281">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8:6]]</w:t>
      </w:r>
    </w:p>
  </w:footnote>
  <w:footnote w:id="282">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Only place we see seven angels. There is only a very slight correlation between the seven angels of the church here and the angels of the plagues. Further, in Revelation 7, we see four angels on earth holding back the winds, and these are in heaven. Thus, the number of angels and their locations here and in Revelation 7 do not align. This makes it hard to say that the four angels in Revelation would collate any of these 7 angels, though not impossible, it would be mostly an interpretive move. The text does not make the jump easy, but it does leave us hanging in Revelation 7 as to what happens with those four angels. However, there are four horsemen on earth at the start of the tribulation, which are sent out by the four living creatures. So, the four angels in Revelation 7 seem to fit better for the literal four horsemen or the four beasts that summon them on earth - even if they are not called "angels" in Revelation 7, as angels are used very generically in Revelation.</w:t>
      </w:r>
    </w:p>
  </w:footnote>
  <w:footnote w:id="283">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284">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r>
        <w:rPr>
          <w:sz w:val="18"/>
          <w:szCs w:val="18"/>
          <w:i w:val="1"/>
          <w:iCs w:val="1"/>
        </w:rPr>
        <w:t xml:space="preserve"> — These are not exactly the same but are similar, "are" in 5:8 vs "with" in 8:4.</w:t>
      </w:r>
    </w:p>
  </w:footnote>
  <w:footnote w:id="28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286">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with the voices, the thunders, the lightnings, and an earthquake. We can see how the plagues are closing, and the next set begins.</w:t>
      </w:r>
    </w:p>
  </w:footnote>
  <w:footnote w:id="287">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8:2]]</w:t>
      </w:r>
    </w:p>
  </w:footnote>
  <w:footnote w:id="288">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28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290">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[[Bible:Joel 2:30]]</w:t>
      </w:r>
    </w:p>
  </w:footnote>
  <w:footnote w:id="291">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292">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293">
    <w:p>
      <w:r>
        <w:rPr>
          <w:rStyle w:val="FootnoteReference"/>
        </w:rPr>
        <w:footnoteRef/>
      </w:r>
      <w:r>
        <w:t xml:space="preserve"> </w:t>
      </w:r>
      <w:r>
        <w:rPr>
          <w:sz w:val="18"/>
          <w:szCs w:val="18"/>
        </w:rPr>
        <w:t xml:space="preserve">[[Bible:Re 8:11]]</w:t>
      </w:r>
      <w:r>
        <w:rPr>
          <w:sz w:val="18"/>
          <w:szCs w:val="18"/>
        </w:rPr>
        <w:t xml:space="preserve">, </w:t>
      </w:r>
      <w:r>
        <w:rPr>
          <w:sz w:val="18"/>
          <w:szCs w:val="18"/>
        </w:rPr>
        <w:t xml:space="preserve">[[Bible:Deuteronomy 29:18]]</w:t>
      </w:r>
      <w:r>
        <w:rPr>
          <w:sz w:val="18"/>
          <w:szCs w:val="18"/>
        </w:rPr>
        <w:t xml:space="preserve">, </w:t>
      </w:r>
      <w:r>
        <w:rPr>
          <w:sz w:val="18"/>
          <w:szCs w:val="18"/>
        </w:rPr>
        <w:t xml:space="preserve">[[Bible:Proverbs 5:4]]</w:t>
      </w:r>
      <w:r>
        <w:rPr>
          <w:sz w:val="18"/>
          <w:szCs w:val="18"/>
        </w:rPr>
        <w:t xml:space="preserve">, </w:t>
      </w:r>
      <w:r>
        <w:rPr>
          <w:sz w:val="18"/>
          <w:szCs w:val="18"/>
        </w:rPr>
        <w:t xml:space="preserve">[[Bible:Jeremiah 9:15]]</w:t>
      </w:r>
      <w:r>
        <w:rPr>
          <w:sz w:val="18"/>
          <w:szCs w:val="18"/>
        </w:rPr>
        <w:t xml:space="preserve">, </w:t>
      </w:r>
      <w:r>
        <w:rPr>
          <w:sz w:val="18"/>
          <w:szCs w:val="18"/>
        </w:rPr>
        <w:t xml:space="preserve">[[Bible:Jeremiah 23:15]]</w:t>
      </w:r>
      <w:r>
        <w:rPr>
          <w:sz w:val="18"/>
          <w:szCs w:val="18"/>
        </w:rPr>
        <w:t xml:space="preserve">, </w:t>
      </w:r>
      <w:r>
        <w:rPr>
          <w:sz w:val="18"/>
          <w:szCs w:val="18"/>
        </w:rPr>
        <w:t xml:space="preserve">[[Bible:Lamentations 3:15]]</w:t>
      </w:r>
      <w:r>
        <w:rPr>
          <w:sz w:val="18"/>
          <w:szCs w:val="18"/>
        </w:rPr>
        <w:t xml:space="preserve">, </w:t>
      </w:r>
      <w:r>
        <w:rPr>
          <w:sz w:val="18"/>
          <w:szCs w:val="18"/>
        </w:rPr>
        <w:t xml:space="preserve">[[Bible:Lamentations 3:19]]</w:t>
      </w:r>
      <w:r>
        <w:rPr>
          <w:sz w:val="18"/>
          <w:szCs w:val="18"/>
        </w:rPr>
        <w:t xml:space="preserve">, </w:t>
      </w:r>
      <w:r>
        <w:rPr>
          <w:sz w:val="18"/>
          <w:szCs w:val="18"/>
        </w:rPr>
        <w:t xml:space="preserve">[[Bible:Amos 5:7]]</w:t>
      </w:r>
      <w:r>
        <w:rPr>
          <w:sz w:val="18"/>
          <w:szCs w:val="18"/>
          <w:i w:val="1"/>
          <w:iCs w:val="1"/>
        </w:rPr>
        <w:t xml:space="preserve"> — Wormwood is strongly linked to Israel's exile from Jerusalem. There are key moments in Revelation when we see similar exile-type events that could relate to Wormwood: the flight of the tribes of Israel into exile as the dragon pursues them as the woman and they are given eagle wings to fly into the wilderness (Revelation 12:14), the killing of the two witnesses (Revelation 11:8), and the patience of the saints (Revelation 13:9-10). This further places the trumpet plagues near or just after the middle of the tribulation.</w:t>
      </w:r>
    </w:p>
  </w:footnote>
  <w:footnote w:id="294">
    <w:p>
      <w:r>
        <w:rPr>
          <w:rStyle w:val="FootnoteReference"/>
        </w:rPr>
        <w:footnoteRef/>
      </w:r>
      <w:r>
        <w:t xml:space="preserve"> </w:t>
      </w:r>
      <w:r>
        <w:rPr>
          <w:sz w:val="18"/>
          <w:szCs w:val="18"/>
        </w:rPr>
        <w:t xml:space="preserve">[[Bible:Re 8:11]]</w:t>
      </w:r>
    </w:p>
  </w:footnote>
  <w:footnote w:id="295">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296">
    <w:p>
      <w:r>
        <w:rPr>
          <w:rStyle w:val="FootnoteReference"/>
        </w:rPr>
        <w:footnoteRef/>
      </w:r>
      <w:r>
        <w:t xml:space="preserve"> </w:t>
      </w:r>
      <w:r>
        <w:rPr>
          <w:sz w:val="18"/>
          <w:szCs w:val="18"/>
          <w:i w:val="1"/>
          <w:iCs w:val="1"/>
        </w:rPr>
        <w:t xml:space="preserve">(ew) This is not a required understanding and the text does not force it, but: The only time we see eagles flying is when the 144,000 are taken into the wilderness a second time (12:14) and before the 144,000 are kept safe from the first woe for five months (8:13 and 9:4). This opens up the possibility that this eagle is the 144,000 symbolized as the woman with eagle wings. If this is the case, that these two eagles are the same, it further opens the possibility that at that time the woman flies into the wilderness, she is also the one who says "woe, woe, woe". Following this possible suggestion, that the two eagles flying are a timing coordination (if this is meant to be understood), it then implies that the time span between the 5th seal and the 4th trumpet is very short. Without this connection between the eagles, this study of Revelation still finds the space between the 5th seal and the 4th trumpet to be a very compressed time frame, which further supports the two eagles being the same, that is, the woman. </w:t>
      </w:r>
      <w:r>
        <w:rPr>
          <w:sz w:val="18"/>
          <w:szCs w:val="18"/>
        </w:rPr>
        <w:t xml:space="preserve">See also: </w:t>
      </w:r>
      <w:r>
        <w:rPr>
          <w:sz w:val="18"/>
          <w:szCs w:val="18"/>
        </w:rPr>
        <w:t xml:space="preserve">[[Bible:Re 12:14]]</w:t>
      </w:r>
    </w:p>
  </w:footnote>
  <w:footnote w:id="297">
    <w:p>
      <w:r>
        <w:rPr>
          <w:rStyle w:val="FootnoteReference"/>
        </w:rPr>
        <w:footnoteRef/>
      </w:r>
      <w:r>
        <w:t xml:space="preserve"> </w:t>
      </w:r>
      <w:r>
        <w:rPr>
          <w:sz w:val="18"/>
          <w:szCs w:val="18"/>
        </w:rPr>
        <w:t xml:space="preserve">[[Bible:Re 9:1-12]]</w:t>
      </w:r>
    </w:p>
  </w:footnote>
  <w:footnote w:id="298">
    <w:p>
      <w:r>
        <w:rPr>
          <w:rStyle w:val="FootnoteReference"/>
        </w:rPr>
        <w:footnoteRef/>
      </w:r>
      <w:r>
        <w:t xml:space="preserve"> </w:t>
      </w:r>
      <w:r>
        <w:rPr>
          <w:sz w:val="18"/>
          <w:szCs w:val="18"/>
        </w:rPr>
        <w:t xml:space="preserve">[[Bible:Re 9:13-21]]</w:t>
      </w:r>
    </w:p>
  </w:footnote>
  <w:footnote w:id="299">
    <w:p>
      <w:r>
        <w:rPr>
          <w:rStyle w:val="FootnoteReference"/>
        </w:rPr>
        <w:footnoteRef/>
      </w:r>
      <w:r>
        <w:t xml:space="preserve"> </w:t>
      </w:r>
      <w:r>
        <w:rPr>
          <w:sz w:val="18"/>
          <w:szCs w:val="18"/>
        </w:rPr>
        <w:t xml:space="preserve">[[Bible:Re 11:14-19]]</w:t>
      </w:r>
    </w:p>
  </w:footnote>
  <w:footnote w:id="30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This key is given to the star not owned by it.</w:t>
      </w:r>
    </w:p>
  </w:footnote>
  <w:footnote w:id="30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02">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30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04">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305">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30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30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308">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09">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1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11">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12">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313">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314">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15">
    <w:p>
      <w:r>
        <w:rPr>
          <w:rStyle w:val="FootnoteReference"/>
        </w:rPr>
        <w:footnoteRef/>
      </w:r>
      <w:r>
        <w:t xml:space="preserve"> </w:t>
      </w:r>
      <w:r>
        <w:rPr>
          <w:sz w:val="18"/>
          <w:szCs w:val="18"/>
        </w:rPr>
        <w:t xml:space="preserve">[[Bible:Re 9:16]]</w:t>
      </w:r>
      <w:r>
        <w:rPr>
          <w:sz w:val="18"/>
          <w:szCs w:val="18"/>
        </w:rPr>
        <w:t xml:space="preserve">, </w:t>
      </w:r>
      <w:r>
        <w:rPr>
          <w:sz w:val="18"/>
          <w:szCs w:val="18"/>
        </w:rPr>
        <w:t xml:space="preserve">[[Bible:Joel 2:11]]</w:t>
      </w:r>
      <w:r>
        <w:rPr>
          <w:sz w:val="18"/>
          <w:szCs w:val="18"/>
          <w:i w:val="1"/>
          <w:iCs w:val="1"/>
        </w:rPr>
        <w:t xml:space="preserve"> — Not the army of Joel 2:11; it is the army of the LORD, not four angels: "The LORD utters his voice before his army". Joel 2:11 better fits 19:14.</w:t>
      </w:r>
    </w:p>
  </w:footnote>
  <w:footnote w:id="316">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17">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318">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319">
    <w:p>
      <w:r>
        <w:rPr>
          <w:rStyle w:val="FootnoteReference"/>
        </w:rPr>
        <w:footnoteRef/>
      </w:r>
      <w:r>
        <w:t xml:space="preserve"> </w:t>
      </w:r>
      <w:r>
        <w:rPr>
          <w:sz w:val="18"/>
          <w:szCs w:val="18"/>
        </w:rPr>
        <w:t xml:space="preserve">[[Bible:Re 10:1]]</w:t>
      </w:r>
      <w:r>
        <w:rPr>
          <w:sz w:val="18"/>
          <w:szCs w:val="18"/>
        </w:rPr>
        <w:t xml:space="preserve">, </w:t>
      </w:r>
      <w:r>
        <w:rPr>
          <w:sz w:val="18"/>
          <w:szCs w:val="18"/>
        </w:rPr>
        <w:t xml:space="preserve">[[Bible:Re 11:1]]</w:t>
      </w:r>
      <w:r>
        <w:rPr>
          <w:sz w:val="18"/>
          <w:szCs w:val="18"/>
          <w:i w:val="1"/>
          <w:iCs w:val="1"/>
        </w:rPr>
        <w:t xml:space="preserve"> — This "strong messenger" is "another" one, meaning, not the same as the strong messenger in Revelation 5:2.</w:t>
      </w:r>
    </w:p>
  </w:footnote>
  <w:footnote w:id="32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321">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32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23">
    <w:p>
      <w:r>
        <w:rPr>
          <w:rStyle w:val="FootnoteReference"/>
        </w:rPr>
        <w:footnoteRef/>
      </w:r>
      <w:r>
        <w:t xml:space="preserve"> </w:t>
      </w:r>
      <w:r>
        <w:rPr>
          <w:sz w:val="18"/>
          <w:szCs w:val="18"/>
        </w:rPr>
        <w:t xml:space="preserve">[[Bible:Daniel 10:6]]</w:t>
      </w:r>
    </w:p>
  </w:footnote>
  <w:footnote w:id="324">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25">
    <w:p>
      <w:r>
        <w:rPr>
          <w:rStyle w:val="FootnoteReference"/>
        </w:rPr>
        <w:footnoteRef/>
      </w:r>
      <w:r>
        <w:t xml:space="preserve"> </w:t>
      </w:r>
      <w:r>
        <w:rPr>
          <w:sz w:val="18"/>
          <w:szCs w:val="18"/>
        </w:rPr>
        <w:t xml:space="preserve">[[Bible:Daniel 10:6]]</w:t>
      </w:r>
    </w:p>
  </w:footnote>
  <w:footnote w:id="32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27">
    <w:p>
      <w:r>
        <w:rPr>
          <w:rStyle w:val="FootnoteReference"/>
        </w:rPr>
        <w:footnoteRef/>
      </w:r>
      <w:r>
        <w:t xml:space="preserve"> </w:t>
      </w:r>
      <w:r>
        <w:rPr>
          <w:sz w:val="18"/>
          <w:szCs w:val="18"/>
        </w:rPr>
        <w:t xml:space="preserve">[[Bible:Ezekiel 1:28-2:10]]</w:t>
      </w:r>
    </w:p>
  </w:footnote>
  <w:footnote w:id="328">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29">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30">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31">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32">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3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33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3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336">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10:6]]</w:t>
      </w:r>
    </w:p>
  </w:footnote>
  <w:footnote w:id="337">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38">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339">
    <w:p>
      <w:r>
        <w:rPr>
          <w:rStyle w:val="FootnoteReference"/>
        </w:rPr>
        <w:footnoteRef/>
      </w:r>
      <w:r>
        <w:t xml:space="preserve"> </w:t>
      </w:r>
      <w:r>
        <w:rPr>
          <w:sz w:val="18"/>
          <w:szCs w:val="18"/>
        </w:rPr>
        <w:t xml:space="preserve">[[Bible:Daniel 12:7]]</w:t>
      </w:r>
    </w:p>
  </w:footnote>
  <w:footnote w:id="340">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41">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2">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43">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45">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4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348">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11:15]]</w:t>
      </w:r>
    </w:p>
  </w:footnote>
  <w:footnote w:id="349">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r>
        <w:rPr>
          <w:sz w:val="18"/>
          <w:szCs w:val="18"/>
          <w:i w:val="1"/>
          <w:iCs w:val="1"/>
        </w:rPr>
        <w:t xml:space="preserve"> — Season of waiting for judgement will end.</w:t>
      </w:r>
    </w:p>
  </w:footnote>
  <w:footnote w:id="350">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51">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352">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353">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τοὺς ἑαυτοῦ δούλους τοὺς προφήτας — His servants the prophets.</w:t>
      </w:r>
    </w:p>
  </w:footnote>
  <w:footnote w:id="35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6">
    <w:p>
      <w:r>
        <w:rPr>
          <w:rStyle w:val="FootnoteReference"/>
        </w:rPr>
        <w:footnoteRef/>
      </w:r>
      <w:r>
        <w:t xml:space="preserve"> </w:t>
      </w:r>
      <w:r>
        <w:rPr>
          <w:sz w:val="18"/>
          <w:szCs w:val="18"/>
        </w:rPr>
        <w:t xml:space="preserve">[[Bible:Ezekiel 3:1]]</w:t>
      </w:r>
    </w:p>
  </w:footnote>
  <w:footnote w:id="357">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p>
  </w:footnote>
  <w:footnote w:id="35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359">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r>
        <w:rPr>
          <w:sz w:val="18"/>
          <w:szCs w:val="18"/>
          <w:i w:val="1"/>
          <w:iCs w:val="1"/>
        </w:rPr>
        <w:t xml:space="preserve"> — The city is called "holy" here, but when the two witnesses die, it is called "Sodom." That shift from holy to unholy supports placing the 1260 days and 42 months at the beginning of the 7 years, not at the end. If this were the end, the change would be the opposite—from unholy to holy—as Jesus takes the city at the end of the tribulation. There are many other supporting proofs for this timing, but this is sufficient for this context.</w:t>
      </w:r>
    </w:p>
  </w:footnote>
  <w:footnote w:id="36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361">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13:5]]</w:t>
      </w:r>
    </w:p>
  </w:footnote>
  <w:footnote w:id="36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11:3]]</w:t>
      </w:r>
      <w:r>
        <w:rPr>
          <w:sz w:val="18"/>
          <w:szCs w:val="18"/>
          <w:i w:val="1"/>
          <w:iCs w:val="1"/>
        </w:rPr>
        <w:t xml:space="preserve"> — These are Jesus' witnesses. We know this because the messenger in verse 1 is Jesus (who we saw in Revelation 10).</w:t>
      </w:r>
    </w:p>
  </w:footnote>
  <w:footnote w:id="36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p>
  </w:footnote>
  <w:footnote w:id="364">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12:6]]</w:t>
      </w:r>
    </w:p>
  </w:footnote>
  <w:footnote w:id="365">
    <w:p>
      <w:r>
        <w:rPr>
          <w:rStyle w:val="FootnoteReference"/>
        </w:rPr>
        <w:footnoteRef/>
      </w:r>
      <w:r>
        <w:t xml:space="preserve"> </w:t>
      </w:r>
      <w:r>
        <w:rPr>
          <w:sz w:val="18"/>
          <w:szCs w:val="18"/>
        </w:rPr>
        <w:t xml:space="preserve">[[Bible:Zechariah 4:2-3]]</w:t>
      </w:r>
    </w:p>
  </w:footnote>
  <w:footnote w:id="366">
    <w:p>
      <w:r>
        <w:rPr>
          <w:rStyle w:val="FootnoteReference"/>
        </w:rPr>
        <w:footnoteRef/>
      </w:r>
      <w:r>
        <w:t xml:space="preserve"> </w:t>
      </w:r>
      <w:r>
        <w:rPr>
          <w:sz w:val="18"/>
          <w:szCs w:val="18"/>
        </w:rPr>
        <w:t xml:space="preserve">[[Bible:Jeremiah 5:14]]</w:t>
      </w:r>
    </w:p>
  </w:footnote>
  <w:footnote w:id="367">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36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369">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7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13:7]]</w:t>
      </w:r>
      <w:r>
        <w:rPr>
          <w:sz w:val="18"/>
          <w:szCs w:val="18"/>
          <w:i w:val="1"/>
          <w:iCs w:val="1"/>
        </w:rPr>
        <w:t xml:space="preserve"> — Soft connection, these might be killed at the same time as the events in Revelation 13, but it is not clear. This link of "make war" is not strong enough to assert that their death happened at the time of the events in 13:7.</w:t>
      </w:r>
    </w:p>
  </w:footnote>
  <w:footnote w:id="37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Named as Jerusalem in location, but there are many locations of Babylon, like Mesopotamia, Sodom, Egypt, and in Revelation 17, a mystery location. All Babylons are the center of power of man. Do not confuse this Jerusalem Babylon, where the Sea Beast rules, with Mystery Babylon. We know Jerusalem is where Jesus was crucified, so this Babylon is NOT a mystery.</w:t>
      </w:r>
    </w:p>
  </w:footnote>
  <w:footnote w:id="37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37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p>
  </w:footnote>
  <w:footnote w:id="374">
    <w:p>
      <w:r>
        <w:rPr>
          <w:rStyle w:val="FootnoteReference"/>
        </w:rPr>
        <w:footnoteRef/>
      </w:r>
      <w:r>
        <w:t xml:space="preserve"> </w:t>
      </w:r>
      <w:r>
        <w:rPr>
          <w:sz w:val="18"/>
          <w:szCs w:val="18"/>
        </w:rPr>
        <w:t xml:space="preserve">[[Bible:Ezekiel 16:46]]</w:t>
      </w:r>
    </w:p>
  </w:footnote>
  <w:footnote w:id="375">
    <w:p>
      <w:r>
        <w:rPr>
          <w:rStyle w:val="FootnoteReference"/>
        </w:rPr>
        <w:footnoteRef/>
      </w:r>
      <w:r>
        <w:t xml:space="preserve"> </w:t>
      </w:r>
      <w:r>
        <w:rPr>
          <w:sz w:val="18"/>
          <w:szCs w:val="18"/>
        </w:rPr>
        <w:t xml:space="preserve">[[Bible:Matthew 27:31]]</w:t>
      </w:r>
    </w:p>
  </w:footnote>
  <w:footnote w:id="376">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37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r>
        <w:rPr>
          <w:sz w:val="18"/>
          <w:szCs w:val="18"/>
          <w:i w:val="1"/>
          <w:iCs w:val="1"/>
        </w:rPr>
        <w:t xml:space="preserve"> — Same ratio of days in years to their time of witness.</w:t>
      </w:r>
    </w:p>
  </w:footnote>
  <w:footnote w:id="378">
    <w:p>
      <w:r>
        <w:rPr>
          <w:rStyle w:val="FootnoteReference"/>
        </w:rPr>
        <w:footnoteRef/>
      </w:r>
      <w:r>
        <w:t xml:space="preserve"> </w:t>
      </w:r>
      <w:r>
        <w:rPr>
          <w:sz w:val="18"/>
          <w:szCs w:val="18"/>
        </w:rPr>
        <w:t xml:space="preserve">[[Bible:Re 11:10]]</w:t>
      </w:r>
      <w:r>
        <w:rPr>
          <w:sz w:val="18"/>
          <w:szCs w:val="18"/>
        </w:rP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r>
        <w:rPr>
          <w:sz w:val="18"/>
          <w:szCs w:val="18"/>
          <w:i w:val="1"/>
          <w:iCs w:val="1"/>
        </w:rPr>
        <w:t xml:space="preserve"> — 11:10 is the anti-type rejoicing to those in 12:12, 18:20, 19:7.</w:t>
      </w:r>
    </w:p>
  </w:footnote>
  <w:footnote w:id="379">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80">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r>
        <w:rPr>
          <w:sz w:val="18"/>
          <w:szCs w:val="18"/>
          <w:i w:val="1"/>
          <w:iCs w:val="1"/>
        </w:rPr>
        <w:t xml:space="preserve"> — Jesus used the same words before.</w:t>
      </w:r>
    </w:p>
  </w:footnote>
  <w:footnote w:id="381">
    <w:p>
      <w:r>
        <w:rPr>
          <w:rStyle w:val="FootnoteReference"/>
        </w:rPr>
        <w:footnoteRef/>
      </w:r>
      <w:r>
        <w:t xml:space="preserve"> </w:t>
      </w:r>
      <w:r>
        <w:rPr>
          <w:sz w:val="18"/>
          <w:szCs w:val="18"/>
        </w:rPr>
        <w:t xml:space="preserve">[[Bible:Re 10:13-21]]</w:t>
      </w:r>
    </w:p>
  </w:footnote>
  <w:footnote w:id="382">
    <w:p>
      <w:r>
        <w:rPr>
          <w:rStyle w:val="FootnoteReference"/>
        </w:rPr>
        <w:footnoteRef/>
      </w:r>
      <w:r>
        <w:t xml:space="preserve"> </w:t>
      </w:r>
      <w:r>
        <w:rPr>
          <w:sz w:val="18"/>
          <w:szCs w:val="18"/>
        </w:rPr>
        <w:t xml:space="preserve">[[Bible:Re 11:14-19]]</w:t>
      </w:r>
    </w:p>
  </w:footnote>
  <w:footnote w:id="383">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84">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p>
  </w:footnote>
  <w:footnote w:id="385">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p>
  </w:footnote>
  <w:footnote w:id="386">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r>
        <w:rPr>
          <w:sz w:val="18"/>
          <w:szCs w:val="18"/>
          <w:i w:val="1"/>
          <w:iCs w:val="1"/>
        </w:rPr>
        <w:t xml:space="preserve"> — The plural uses of voices here seem to be placing the saints of Revelation 15:2 at this point.</w:t>
      </w:r>
    </w:p>
  </w:footnote>
  <w:footnote w:id="387">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p>
  </w:footnote>
  <w:footnote w:id="38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38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p>
  </w:footnote>
  <w:footnote w:id="390">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15:1]]</w:t>
      </w:r>
      <w:r>
        <w:rPr>
          <w:sz w:val="18"/>
          <w:szCs w:val="18"/>
        </w:rPr>
        <w:t xml:space="preserve">, </w:t>
      </w:r>
      <w:r>
        <w:rPr>
          <w:sz w:val="18"/>
          <w:szCs w:val="18"/>
        </w:rPr>
        <w:t xml:space="preserve">[[Bible:Re 16:1]]</w:t>
      </w:r>
    </w:p>
  </w:footnote>
  <w:footnote w:id="391">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τοῖς δούλοις σου τοῖς προφήταις — Thy servants the prophets.</w:t>
      </w:r>
    </w:p>
  </w:footnote>
  <w:footnote w:id="39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39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p>
  </w:footnote>
  <w:footnote w:id="394">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15:5]]</w:t>
      </w:r>
    </w:p>
  </w:footnote>
  <w:footnote w:id="39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9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97">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398">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15:1]]</w:t>
      </w:r>
    </w:p>
  </w:footnote>
  <w:footnote w:id="399">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14:1]]</w:t>
      </w:r>
    </w:p>
  </w:footnote>
  <w:footnote w:id="400">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01">
    <w:p>
      <w:r>
        <w:rPr>
          <w:rStyle w:val="FootnoteReference"/>
        </w:rPr>
        <w:footnoteRef/>
      </w:r>
      <w:r>
        <w:t xml:space="preserve"> </w:t>
      </w:r>
      <w:r>
        <w:rPr>
          <w:sz w:val="18"/>
          <w:szCs w:val="18"/>
        </w:rPr>
        <w:t xml:space="preserve">[[Bible:Re 12:1]]</w:t>
      </w:r>
      <w:r>
        <w:rPr>
          <w:sz w:val="18"/>
          <w:szCs w:val="18"/>
        </w:rPr>
        <w:t xml:space="preserve">, </w:t>
      </w:r>
      <w:r>
        <w:rPr>
          <w:sz w:val="18"/>
          <w:szCs w:val="18"/>
        </w:rPr>
        <w:t xml:space="preserve">[[Bible:Re 14:1]]</w:t>
      </w:r>
    </w:p>
  </w:footnote>
  <w:footnote w:id="402">
    <w:p>
      <w:r>
        <w:rPr>
          <w:rStyle w:val="FootnoteReference"/>
        </w:rPr>
        <w:footnoteRef/>
      </w:r>
      <w:r>
        <w:t xml:space="preserve"> </w:t>
      </w:r>
      <w:r>
        <w:rPr>
          <w:sz w:val="18"/>
          <w:szCs w:val="18"/>
        </w:rPr>
        <w:t xml:space="preserve">[[Bible:Re 7:1-8]]</w:t>
      </w:r>
    </w:p>
  </w:footnote>
  <w:footnote w:id="40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p>
  </w:footnote>
  <w:footnote w:id="404">
    <w:p>
      <w:r>
        <w:rPr>
          <w:rStyle w:val="FootnoteReference"/>
        </w:rPr>
        <w:footnoteRef/>
      </w:r>
      <w:r>
        <w:t xml:space="preserve"> </w:t>
      </w:r>
      <w:r>
        <w:rPr>
          <w:sz w:val="18"/>
          <w:szCs w:val="18"/>
        </w:rPr>
        <w:t xml:space="preserve">[[Bible:Isaiah 26:15-16]]</w:t>
      </w:r>
    </w:p>
  </w:footnote>
  <w:footnote w:id="405">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15:1]]</w:t>
      </w:r>
    </w:p>
  </w:footnote>
  <w:footnote w:id="406">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40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408">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40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410">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13:1]]</w:t>
      </w:r>
      <w:r>
        <w:rPr>
          <w:sz w:val="18"/>
          <w:szCs w:val="18"/>
        </w:rPr>
        <w:t xml:space="preserve">, </w:t>
      </w:r>
      <w:r>
        <w:rPr>
          <w:sz w:val="18"/>
          <w:szCs w:val="18"/>
        </w:rPr>
        <w:t xml:space="preserve">[[Bible:Re 19:12]]</w:t>
      </w:r>
    </w:p>
  </w:footnote>
  <w:footnote w:id="411">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r>
        <w:rPr>
          <w:sz w:val="18"/>
          <w:szCs w:val="18"/>
          <w:i w:val="1"/>
          <w:iCs w:val="1"/>
        </w:rPr>
        <w:t xml:space="preserve"> — The reason we do not see a reference to this fall of 1/3 angels in the Old Testament is that it is a future event; it has not taken place yet. Everything in Revelation after chapter 4 is yet to come.</w:t>
      </w:r>
    </w:p>
  </w:footnote>
  <w:footnote w:id="412">
    <w:p>
      <w:r>
        <w:rPr>
          <w:rStyle w:val="FootnoteReference"/>
        </w:rPr>
        <w:footnoteRef/>
      </w:r>
      <w:r>
        <w:t xml:space="preserve"> </w:t>
      </w:r>
      <w:r>
        <w:rPr>
          <w:sz w:val="18"/>
          <w:szCs w:val="18"/>
        </w:rPr>
        <w:t xml:space="preserve">[[Bible:Re 1:1]]</w:t>
      </w:r>
    </w:p>
  </w:footnote>
  <w:footnote w:id="413">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14:1]]</w:t>
      </w:r>
    </w:p>
  </w:footnote>
  <w:footnote w:id="414">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415">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14:1-8]]</w:t>
      </w:r>
    </w:p>
  </w:footnote>
  <w:footnote w:id="416">
    <w:p>
      <w:r>
        <w:rPr>
          <w:rStyle w:val="FootnoteReference"/>
        </w:rPr>
        <w:footnoteRef/>
      </w:r>
      <w:r>
        <w:t xml:space="preserve"> </w:t>
      </w:r>
      <w:r>
        <w:rPr>
          <w:sz w:val="18"/>
          <w:szCs w:val="18"/>
        </w:rPr>
        <w:t xml:space="preserve">[[Bible:Isaiah 26:13-21]]</w:t>
      </w:r>
    </w:p>
  </w:footnote>
  <w:footnote w:id="417">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11:3]]</w:t>
      </w:r>
    </w:p>
  </w:footnote>
  <w:footnote w:id="41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419">
    <w:p>
      <w:r>
        <w:rPr>
          <w:rStyle w:val="FootnoteReference"/>
        </w:rPr>
        <w:footnoteRef/>
      </w:r>
      <w:r>
        <w:t xml:space="preserve"> </w:t>
      </w:r>
      <w:r>
        <w:rPr>
          <w:sz w:val="18"/>
          <w:szCs w:val="18"/>
        </w:rPr>
        <w:t xml:space="preserve">[[Bible:Re 12:3]]</w:t>
      </w:r>
    </w:p>
  </w:footnote>
  <w:footnote w:id="420">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2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12:7-9]]</w:t>
      </w:r>
      <w:r>
        <w:rPr>
          <w:sz w:val="18"/>
          <w:szCs w:val="18"/>
          <w:i w:val="1"/>
          <w:iCs w:val="1"/>
        </w:rPr>
        <w:t xml:space="preserve"> — Here, Satan and his angels are cast out, whereas in Revelation 12:3 Satan is shown casting the stars to the earth. These are opposite actions performed by different agents, which means they cannot be describing the same moment in time. Thus we cannot use the casting out here and in 12:3 as a timing link, these are not the same.</w:t>
      </w:r>
    </w:p>
  </w:footnote>
  <w:footnote w:id="422">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19:1]]</w:t>
      </w:r>
    </w:p>
  </w:footnote>
  <w:footnote w:id="423">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42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42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426">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7:14]]</w:t>
      </w:r>
    </w:p>
  </w:footnote>
  <w:footnote w:id="42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12:11]]</w:t>
      </w:r>
    </w:p>
  </w:footnote>
  <w:footnote w:id="428">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429">
    <w:p>
      <w:r>
        <w:rPr>
          <w:rStyle w:val="FootnoteReference"/>
        </w:rPr>
        <w:footnoteRef/>
      </w:r>
      <w:r>
        <w:t xml:space="preserve"> </w:t>
      </w:r>
      <w:r>
        <w:rPr>
          <w:sz w:val="18"/>
          <w:szCs w:val="18"/>
        </w:rPr>
        <w:t xml:space="preserve">[[Bible:Isaiah 26:19]]</w:t>
      </w:r>
    </w:p>
  </w:footnote>
  <w:footnote w:id="430">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17:10]]</w:t>
      </w:r>
    </w:p>
  </w:footnote>
  <w:footnote w:id="431">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32">
    <w:p>
      <w:r>
        <w:rPr>
          <w:rStyle w:val="FootnoteReference"/>
        </w:rPr>
        <w:footnoteRef/>
      </w:r>
      <w:r>
        <w:t xml:space="preserve"> </w:t>
      </w:r>
      <w:r>
        <w:rPr>
          <w:sz w:val="18"/>
          <w:szCs w:val="18"/>
        </w:rPr>
        <w:t xml:space="preserve">[[Bible:Exodus 19:4]]</w:t>
      </w:r>
      <w:r>
        <w:rPr>
          <w:sz w:val="18"/>
          <w:szCs w:val="18"/>
        </w:rPr>
        <w:t xml:space="preserve">, </w:t>
      </w:r>
      <w:r>
        <w:rPr>
          <w:sz w:val="18"/>
          <w:szCs w:val="18"/>
        </w:rPr>
        <w:t xml:space="preserve">[[Bible:Deuteronomy 32:9-12]]</w:t>
      </w:r>
      <w:r>
        <w:rPr>
          <w:sz w:val="18"/>
          <w:szCs w:val="18"/>
        </w:rPr>
        <w:t xml:space="preserve">, </w:t>
      </w:r>
      <w:r>
        <w:rPr>
          <w:sz w:val="18"/>
          <w:szCs w:val="18"/>
        </w:rPr>
        <w:t xml:space="preserve">[[Bible:Isaiah 40:31]]</w:t>
      </w:r>
    </w:p>
  </w:footnote>
  <w:footnote w:id="433">
    <w:p>
      <w:r>
        <w:rPr>
          <w:rStyle w:val="FootnoteReference"/>
        </w:rPr>
        <w:footnoteRef/>
      </w:r>
      <w:r>
        <w:t xml:space="preserve"> </w:t>
      </w:r>
      <w:r>
        <w:rPr>
          <w:sz w:val="18"/>
          <w:szCs w:val="18"/>
          <w:i w:val="1"/>
          <w:iCs w:val="1"/>
        </w:rPr>
        <w:t xml:space="preserve">(ew) This is not a required understanding and the text does not force it, but: The only time we see eagles flying is when the 144,000 are taken into the wilderness a second time (12:14) and before the 144,000 are kept safe from the first woe for five months (8:13 and 9:4). This opens up the possibility that this eagle is the 144,000 symbolized as the woman with eagle wings. If this is the case, that these two eagles are the same, it further opens the possibility that at that time the woman flies into the wilderness, she is also the one who says "woe, woe, woe". Following this possible suggestion, that the two eagles flying are a timing coordination (if this is meant to be understood), it then implies that the time span between the 5th seal and the 4th trumpet is very short. Without this connection between the eagles, this study of Revelation still finds the space between the 5th seal and the 4th trumpet to be a very compressed time frame, which further supports the two eagles being the same, that is, the woman. </w:t>
      </w:r>
      <w:r>
        <w:rPr>
          <w:sz w:val="18"/>
          <w:szCs w:val="18"/>
        </w:rPr>
        <w:t xml:space="preserve">See also: </w:t>
      </w:r>
      <w:r>
        <w:rPr>
          <w:sz w:val="18"/>
          <w:szCs w:val="18"/>
        </w:rPr>
        <w:t xml:space="preserve">[[Bible:Re 8:13]]</w:t>
      </w:r>
    </w:p>
  </w:footnote>
  <w:footnote w:id="434">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14:15]]</w:t>
      </w:r>
    </w:p>
  </w:footnote>
  <w:footnote w:id="435">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436">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12:14]]</w:t>
      </w:r>
    </w:p>
  </w:footnote>
  <w:footnote w:id="437">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38">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439">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4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441">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19:12]]</w:t>
      </w:r>
    </w:p>
  </w:footnote>
  <w:footnote w:id="442">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443">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444">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4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46">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47">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13:12]]</w:t>
      </w:r>
      <w:r>
        <w:rPr>
          <w:sz w:val="18"/>
          <w:szCs w:val="18"/>
        </w:rPr>
        <w:t xml:space="preserve">, </w:t>
      </w:r>
      <w:r>
        <w:rPr>
          <w:sz w:val="18"/>
          <w:szCs w:val="18"/>
        </w:rPr>
        <w:t xml:space="preserve">[[Bible:Re 14:9]]</w:t>
      </w:r>
    </w:p>
  </w:footnote>
  <w:footnote w:id="448">
    <w:p>
      <w:r>
        <w:rPr>
          <w:rStyle w:val="FootnoteReference"/>
        </w:rPr>
        <w:footnoteRef/>
      </w:r>
      <w:r>
        <w:t xml:space="preserve"> </w:t>
      </w:r>
      <w:r>
        <w:rPr>
          <w:sz w:val="18"/>
          <w:szCs w:val="18"/>
        </w:rPr>
        <w:t xml:space="preserve">[[Bible:Daniel 7:7-8]]</w:t>
      </w:r>
    </w:p>
  </w:footnote>
  <w:footnote w:id="449">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11:2]]</w:t>
      </w:r>
    </w:p>
  </w:footnote>
  <w:footnote w:id="4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13:5]]</w:t>
      </w:r>
    </w:p>
  </w:footnote>
  <w:footnote w:id="451">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452">
    <w:p>
      <w:r>
        <w:rPr>
          <w:rStyle w:val="FootnoteReference"/>
        </w:rPr>
        <w:footnoteRef/>
      </w:r>
      <w:r>
        <w:t xml:space="preserve"> </w:t>
      </w:r>
      <w:r>
        <w:rPr>
          <w:sz w:val="18"/>
          <w:szCs w:val="18"/>
        </w:rPr>
        <w:t xml:space="preserve">[[Bible:Daniel 7:25]]</w:t>
      </w:r>
    </w:p>
  </w:footnote>
  <w:footnote w:id="45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54">
    <w:p>
      <w:r>
        <w:rPr>
          <w:rStyle w:val="FootnoteReference"/>
        </w:rPr>
        <w:footnoteRef/>
      </w:r>
      <w:r>
        <w:t xml:space="preserve"> </w:t>
      </w:r>
      <w:r>
        <w:rPr>
          <w:sz w:val="18"/>
          <w:szCs w:val="18"/>
        </w:rPr>
        <w:t xml:space="preserve">[[Bible:Re 13:7]]</w:t>
      </w:r>
      <w:r>
        <w:rPr>
          <w:sz w:val="18"/>
          <w:szCs w:val="18"/>
        </w:rPr>
        <w:t xml:space="preserve">, </w:t>
      </w:r>
      <w:r>
        <w:rPr>
          <w:sz w:val="18"/>
          <w:szCs w:val="18"/>
        </w:rPr>
        <w:t xml:space="preserve">[[Bible:Daniel 7:21]]</w:t>
      </w:r>
      <w:r>
        <w:rPr>
          <w:sz w:val="18"/>
          <w:szCs w:val="18"/>
        </w:rPr>
        <w:t xml:space="preserve">, </w:t>
      </w:r>
      <w:r>
        <w:rPr>
          <w:sz w:val="18"/>
          <w:szCs w:val="18"/>
        </w:rPr>
        <w:t xml:space="preserve">[[Bible:Daniel 7:25]]</w:t>
      </w:r>
    </w:p>
  </w:footnote>
  <w:footnote w:id="455">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5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45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458">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45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r>
        <w:rPr>
          <w:sz w:val="18"/>
          <w:szCs w:val="18"/>
          <w:i w:val="1"/>
          <w:iCs w:val="1"/>
        </w:rPr>
        <w:t xml:space="preserve"> — "Ear, let him hear" (ἔχει/ἔχων οὖς ἀκουσάτω) is specific to the 7 churches. When we see it again here, we see the same idea, "My people hear me! Do not worship the beast. Even if you must rest." This does not mean that the 7 churches are specifically present at this time; all the other links in Revelation must be considered alongside this phrase. The phrase "let him hear" appears to be for those who hear God, that is, the saints in general.</w:t>
      </w:r>
    </w:p>
  </w:footnote>
  <w:footnote w:id="460">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6:11]]</w:t>
      </w:r>
    </w:p>
  </w:footnote>
  <w:footnote w:id="461">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14:12]]</w:t>
      </w:r>
    </w:p>
  </w:footnote>
  <w:footnote w:id="46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14:12]]</w:t>
      </w:r>
    </w:p>
  </w:footnote>
  <w:footnote w:id="46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14:12]]</w:t>
      </w:r>
    </w:p>
  </w:footnote>
  <w:footnote w:id="464">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14:9]]</w:t>
      </w:r>
    </w:p>
  </w:footnote>
  <w:footnote w:id="46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66">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67">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68">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69">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7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47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13:1]]</w:t>
      </w:r>
      <w:r>
        <w:rPr>
          <w:sz w:val="18"/>
          <w:szCs w:val="18"/>
        </w:rPr>
        <w:t xml:space="preserve">, </w:t>
      </w:r>
      <w:r>
        <w:rPr>
          <w:sz w:val="18"/>
          <w:szCs w:val="18"/>
        </w:rPr>
        <w:t xml:space="preserve">[[Bible:Re 13:15]]</w:t>
      </w:r>
      <w:r>
        <w:rPr>
          <w:sz w:val="18"/>
          <w:szCs w:val="18"/>
          <w:i w:val="1"/>
          <w:iCs w:val="1"/>
        </w:rPr>
        <w:t xml:space="preserve"> — More mirroring. The dragon's image becomes the image of the sea beasts, and an image of the sea beast is also made.</w:t>
      </w:r>
    </w:p>
  </w:footnote>
  <w:footnote w:id="47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5">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7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47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9">
    <w:p>
      <w:r>
        <w:rPr>
          <w:rStyle w:val="FootnoteReference"/>
        </w:rPr>
        <w:footnoteRef/>
      </w:r>
      <w:r>
        <w:t xml:space="preserve"> </w:t>
      </w:r>
      <w:r>
        <w:rPr>
          <w:sz w:val="18"/>
          <w:szCs w:val="18"/>
        </w:rPr>
        <w:t xml:space="preserve">[[Bible:Ezekiel 28:2]]</w:t>
      </w:r>
    </w:p>
  </w:footnote>
  <w:footnote w:id="480">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p>
  </w:footnote>
  <w:footnote w:id="481">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12:5]]</w:t>
      </w:r>
    </w:p>
  </w:footnote>
  <w:footnote w:id="482">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12:1]]</w:t>
      </w:r>
    </w:p>
  </w:footnote>
  <w:footnote w:id="483">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84">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7:2]]</w:t>
      </w:r>
    </w:p>
  </w:footnote>
  <w:footnote w:id="485">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r>
        <w:rPr>
          <w:sz w:val="18"/>
          <w:szCs w:val="18"/>
          <w:i w:val="1"/>
          <w:iCs w:val="1"/>
        </w:rPr>
        <w:t xml:space="preserve"> — References to the 144,000</w:t>
      </w:r>
    </w:p>
  </w:footnote>
  <w:footnote w:id="486">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i w:val="1"/>
          <w:iCs w:val="1"/>
        </w:rPr>
        <w:t xml:space="preserve"> — References to the placement of a mark on foreheads.</w:t>
      </w:r>
    </w:p>
  </w:footnote>
  <w:footnote w:id="48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488">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48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phrase "the voice of many waters" in Revelation 14:2 appears primarily to describe the volume and overwhelming power of the sound. While this imagery is elsewhere used of Christ (Revelation 1:15), its presence here does not by itself identify the speaker as Jesus with certainty. The expression can function descriptively rather than personally, emphasizing magnitude rather than identity. Therefore, the phrase alone is not sufficient to determine whether the voice belongs specifically to Christ or simply characterizes the sound being heard.</w:t>
      </w:r>
    </w:p>
  </w:footnote>
  <w:footnote w:id="49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w:t>
      </w:r>
    </w:p>
  </w:footnote>
  <w:footnote w:id="491">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r>
        <w:rPr>
          <w:sz w:val="18"/>
          <w:szCs w:val="18"/>
          <w:i w:val="1"/>
          <w:iCs w:val="1"/>
        </w:rPr>
        <w:t xml:space="preserve"> — Harps in Revelation function as an identifying marker of those who are singing. They consistently accompany songs in the book and serve to signal who sings, but no particular identity beyond the singers.</w:t>
      </w:r>
    </w:p>
  </w:footnote>
  <w:footnote w:id="492">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5:9]]</w:t>
      </w:r>
    </w:p>
  </w:footnote>
  <w:footnote w:id="49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4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495">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96">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14:4]]</w:t>
      </w:r>
    </w:p>
  </w:footnote>
  <w:footnote w:id="497">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[[Bible:Matthew 25:1-13]]</w:t>
      </w:r>
      <w:r>
        <w:rPr>
          <w:sz w:val="18"/>
          <w:szCs w:val="18"/>
          <w:i w:val="1"/>
          <w:iCs w:val="1"/>
        </w:rPr>
        <w:t xml:space="preserve"> — If  Matthew 25:1-13 is about the 144,000, then they best fit the wise virgins.</w:t>
      </w:r>
    </w:p>
  </w:footnote>
  <w:footnote w:id="498">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is used.</w:t>
      </w:r>
    </w:p>
  </w:footnote>
  <w:footnote w:id="499">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14:3]]</w:t>
      </w:r>
    </w:p>
  </w:footnote>
  <w:footnote w:id="500">
    <w:p>
      <w:r>
        <w:rPr>
          <w:rStyle w:val="FootnoteReference"/>
        </w:rPr>
        <w:footnoteRef/>
      </w:r>
      <w:r>
        <w:t xml:space="preserve"> </w:t>
      </w:r>
      <w:r>
        <w:rPr>
          <w:sz w:val="18"/>
          <w:szCs w:val="18"/>
        </w:rPr>
        <w:t xml:space="preserve">[[Bible:Re 14:6]]</w:t>
      </w:r>
      <w:r>
        <w:rPr>
          <w:sz w:val="18"/>
          <w:szCs w:val="18"/>
        </w:rPr>
        <w:t xml:space="preserve">, </w:t>
      </w:r>
      <w:r>
        <w:rPr>
          <w:sz w:val="18"/>
          <w:szCs w:val="18"/>
        </w:rPr>
        <w:t xml:space="preserve">[[Bible:Matthew 24:14]]</w:t>
      </w:r>
      <w:r>
        <w:rPr>
          <w:sz w:val="18"/>
          <w:szCs w:val="18"/>
        </w:rPr>
        <w:t xml:space="preserve">, </w:t>
      </w:r>
      <w:r>
        <w:rPr>
          <w:sz w:val="18"/>
          <w:szCs w:val="18"/>
        </w:rPr>
        <w:t xml:space="preserve">[[Bible:Isaiah 52:7]]</w:t>
      </w:r>
      <w:r>
        <w:rPr>
          <w:sz w:val="18"/>
          <w:szCs w:val="18"/>
        </w:rPr>
        <w:t xml:space="preserve">, </w:t>
      </w:r>
      <w:r>
        <w:rPr>
          <w:sz w:val="18"/>
          <w:szCs w:val="18"/>
        </w:rPr>
        <w:t xml:space="preserve">[[Bible:Isaiah 61:1-2]]</w:t>
      </w:r>
      <w:r>
        <w:rPr>
          <w:sz w:val="18"/>
          <w:szCs w:val="18"/>
          <w:i w:val="1"/>
          <w:iCs w:val="1"/>
        </w:rPr>
        <w:t xml:space="preserve"> — Based on this text, it is a single messenger of God that preaches the gospel to all the earth at the time of the end. The agent is not the church. What the church did not finish at God's appointed time, God completes.</w:t>
      </w:r>
    </w:p>
  </w:footnote>
  <w:footnote w:id="501">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50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03">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504">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50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506">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18:1]]</w:t>
      </w:r>
    </w:p>
  </w:footnote>
  <w:footnote w:id="507">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18:2]]</w:t>
      </w:r>
    </w:p>
  </w:footnote>
  <w:footnote w:id="50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50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510">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13:12]]</w:t>
      </w:r>
    </w:p>
  </w:footnote>
  <w:footnote w:id="51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3">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14">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15">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51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517">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9">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13:10]]</w:t>
      </w:r>
    </w:p>
  </w:footnote>
  <w:footnote w:id="52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521">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13:10]]</w:t>
      </w:r>
    </w:p>
  </w:footnote>
  <w:footnote w:id="52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13:10]]</w:t>
      </w:r>
    </w:p>
  </w:footnote>
  <w:footnote w:id="52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52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2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2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527">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52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529">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6:11]]</w:t>
      </w:r>
    </w:p>
  </w:footnote>
  <w:footnote w:id="530">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3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532">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3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534">
    <w:p>
      <w:r>
        <w:rPr>
          <w:rStyle w:val="FootnoteReference"/>
        </w:rPr>
        <w:footnoteRef/>
      </w:r>
      <w:r>
        <w:t xml:space="preserve"> </w:t>
      </w:r>
      <w:r>
        <w:rPr>
          <w:sz w:val="18"/>
          <w:szCs w:val="18"/>
        </w:rPr>
        <w:t xml:space="preserve">[[Bible:Re 14:14]]</w:t>
      </w:r>
      <w:r>
        <w:rPr>
          <w:sz w:val="18"/>
          <w:szCs w:val="18"/>
        </w:rPr>
        <w:t xml:space="preserve">, </w:t>
      </w:r>
      <w:r>
        <w:rPr>
          <w:sz w:val="18"/>
          <w:szCs w:val="18"/>
        </w:rPr>
        <w:t xml:space="preserve">[[Bible:Re 19:12]]</w:t>
      </w:r>
      <w:r>
        <w:rPr>
          <w:sz w:val="18"/>
          <w:szCs w:val="18"/>
          <w:i w:val="1"/>
          <w:iCs w:val="1"/>
        </w:rPr>
        <w:t xml:space="preserve"> — στέφανος (crown) is used in Revelation 14:14, not διάδημα (diadem), as in 19:12. These two crowns do not symbolize one another at the level of the Greek text.</w:t>
      </w:r>
    </w:p>
  </w:footnote>
  <w:footnote w:id="535">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3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37">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38">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12:14]]</w:t>
      </w:r>
    </w:p>
  </w:footnote>
  <w:footnote w:id="539">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p>
  </w:footnote>
  <w:footnote w:id="54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41">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15:2]]</w:t>
      </w:r>
    </w:p>
  </w:footnote>
  <w:footnote w:id="542">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43">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44">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This might be the same fire as the fire under the sea of glass. If angel is the same, then the trumpet plagues have likely passed by this point, because we are looking back at the angel as if we have already seen him.</w:t>
      </w:r>
    </w:p>
  </w:footnote>
  <w:footnote w:id="54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This is likely the angel who has the golden censer with fire at the altar.</w:t>
      </w:r>
    </w:p>
  </w:footnote>
  <w:footnote w:id="546">
    <w:p>
      <w:r>
        <w:rPr>
          <w:rStyle w:val="FootnoteReference"/>
        </w:rPr>
        <w:footnoteRef/>
      </w:r>
      <w:r>
        <w:t xml:space="preserve"> </w:t>
      </w:r>
      <w:r>
        <w:rPr>
          <w:sz w:val="18"/>
          <w:szCs w:val="18"/>
        </w:rPr>
        <w:t xml:space="preserve">[[Bible:Joel 3:13-17]]</w:t>
      </w:r>
      <w:r>
        <w:rPr>
          <w:sz w:val="18"/>
          <w:szCs w:val="18"/>
          <w:i w:val="1"/>
          <w:iCs w:val="1"/>
        </w:rPr>
        <w:t xml:space="preserve"> — In Joel's account, the sun, moon, and stars are darkened. We see this not only in the sixth seal, but also across numerous other plagues. Darkness is a recurring theme in Revelation—it is not confined to a single moment.</w:t>
      </w:r>
    </w:p>
  </w:footnote>
  <w:footnote w:id="54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48">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54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550">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51">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552">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This story about the winepress will pick back up in 16:19 and again in 19:15.</w:t>
      </w:r>
    </w:p>
  </w:footnote>
  <w:footnote w:id="553">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12:3]]</w:t>
      </w:r>
    </w:p>
  </w:footnote>
  <w:footnote w:id="55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p>
  </w:footnote>
  <w:footnote w:id="555">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11:18]]</w:t>
      </w:r>
      <w:r>
        <w:rPr>
          <w:sz w:val="18"/>
          <w:szCs w:val="18"/>
        </w:rPr>
        <w:t xml:space="preserve">, </w:t>
      </w:r>
      <w:r>
        <w:rPr>
          <w:sz w:val="18"/>
          <w:szCs w:val="18"/>
        </w:rPr>
        <w:t xml:space="preserve">[[Bible:Re 16:1]]</w:t>
      </w:r>
    </w:p>
  </w:footnote>
  <w:footnote w:id="556">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19:15]]</w:t>
      </w:r>
    </w:p>
  </w:footnote>
  <w:footnote w:id="557">
    <w:p>
      <w:r>
        <w:rPr>
          <w:rStyle w:val="FootnoteReference"/>
        </w:rPr>
        <w:footnoteRef/>
      </w:r>
      <w:r>
        <w:t xml:space="preserve"> </w:t>
      </w:r>
      <w:r>
        <w:rPr>
          <w:sz w:val="18"/>
          <w:szCs w:val="18"/>
        </w:rPr>
        <w:t xml:space="preserve">[[Bible:Romans 5:9]]</w:t>
      </w:r>
      <w:r>
        <w:rPr>
          <w:sz w:val="18"/>
          <w:szCs w:val="18"/>
        </w:rPr>
        <w:t xml:space="preserve">, </w:t>
      </w:r>
      <w:r>
        <w:rPr>
          <w:sz w:val="18"/>
          <w:szCs w:val="18"/>
        </w:rPr>
        <w:t xml:space="preserve">[[Bible:Ephesians 5:6-9]]</w:t>
      </w:r>
      <w:r>
        <w:rPr>
          <w:sz w:val="18"/>
          <w:szCs w:val="18"/>
        </w:rPr>
        <w:t xml:space="preserve">, </w:t>
      </w:r>
      <w:r>
        <w:rPr>
          <w:sz w:val="18"/>
          <w:szCs w:val="18"/>
        </w:rPr>
        <w:t xml:space="preserve">[[Bible:Colossians 3:6]]</w:t>
      </w:r>
      <w:r>
        <w:rPr>
          <w:sz w:val="18"/>
          <w:szCs w:val="18"/>
        </w:rPr>
        <w:t xml:space="preserve">, </w:t>
      </w:r>
      <w:r>
        <w:rPr>
          <w:sz w:val="18"/>
          <w:szCs w:val="18"/>
        </w:rPr>
        <w:t xml:space="preserve">[[Bible:John 3:36]]</w:t>
      </w:r>
    </w:p>
  </w:footnote>
  <w:footnote w:id="558">
    <w:p>
      <w:r>
        <w:rPr>
          <w:rStyle w:val="FootnoteReference"/>
        </w:rPr>
        <w:footnoteRef/>
      </w:r>
      <w:r>
        <w:t xml:space="preserve"> </w:t>
      </w:r>
      <w:r>
        <w:rPr>
          <w:sz w:val="18"/>
          <w:szCs w:val="18"/>
        </w:rPr>
        <w:t xml:space="preserve">[[Bible:1 Thessalonians 1:10]]</w:t>
      </w:r>
      <w:r>
        <w:rPr>
          <w:sz w:val="18"/>
          <w:szCs w:val="18"/>
        </w:rPr>
        <w:t xml:space="preserve">, </w:t>
      </w:r>
      <w:r>
        <w:rPr>
          <w:sz w:val="18"/>
          <w:szCs w:val="18"/>
        </w:rPr>
        <w:t xml:space="preserve">[[Bible:1 Thessalonians 5:9-10]]</w:t>
      </w:r>
      <w:r>
        <w:rPr>
          <w:sz w:val="18"/>
          <w:szCs w:val="18"/>
        </w:rPr>
        <w:t xml:space="preserve">, </w:t>
      </w:r>
      <w:r>
        <w:rPr>
          <w:sz w:val="18"/>
          <w:szCs w:val="18"/>
        </w:rPr>
        <w:t xml:space="preserve">[[Bible:Romans 2:5]]</w:t>
      </w:r>
      <w:r>
        <w:rPr>
          <w:sz w:val="18"/>
          <w:szCs w:val="18"/>
        </w:rPr>
        <w:t xml:space="preserve">, </w:t>
      </w:r>
      <w:r>
        <w:rPr>
          <w:sz w:val="18"/>
          <w:szCs w:val="18"/>
        </w:rPr>
        <w:t xml:space="preserve">[[Bible:Romans 12:19]]</w:t>
      </w:r>
      <w:r>
        <w:rPr>
          <w:sz w:val="18"/>
          <w:szCs w:val="18"/>
        </w:rPr>
        <w:t xml:space="preserve">, </w:t>
      </w:r>
      <w:r>
        <w:rPr>
          <w:sz w:val="18"/>
          <w:szCs w:val="18"/>
        </w:rPr>
        <w:t xml:space="preserve">[[Bible:Ephesians 2:3]]</w:t>
      </w:r>
      <w:r>
        <w:rPr>
          <w:sz w:val="18"/>
          <w:szCs w:val="18"/>
        </w:rPr>
        <w:t xml:space="preserve">, </w:t>
      </w:r>
      <w:r>
        <w:rPr>
          <w:sz w:val="18"/>
          <w:szCs w:val="18"/>
        </w:rPr>
        <w:t xml:space="preserve">[[Bible:Luke 21:23]]</w:t>
      </w:r>
      <w:r>
        <w:rPr>
          <w:sz w:val="18"/>
          <w:szCs w:val="18"/>
        </w:rPr>
        <w:t xml:space="preserve">, </w:t>
      </w:r>
      <w:r>
        <w:rPr>
          <w:sz w:val="18"/>
          <w:szCs w:val="18"/>
        </w:rPr>
        <w:t xml:space="preserve">[[Bible:Re 6:16-17]]</w:t>
      </w:r>
    </w:p>
  </w:footnote>
  <w:footnote w:id="559">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Might be the same fire.</w:t>
      </w:r>
    </w:p>
  </w:footnote>
  <w:footnote w:id="560">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r>
        <w:rPr>
          <w:sz w:val="18"/>
          <w:szCs w:val="18"/>
          <w:i w:val="1"/>
          <w:iCs w:val="1"/>
        </w:rPr>
        <w:t xml:space="preserve"> — Another way to translate would be "glassy sea mixed with fire" or as I understand it something like a crystal clear sea, like glass, that is mixed with fire.</w:t>
      </w:r>
    </w:p>
  </w:footnote>
  <w:footnote w:id="561">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p>
  </w:footnote>
  <w:footnote w:id="562">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r>
        <w:rPr>
          <w:sz w:val="18"/>
          <w:szCs w:val="18"/>
          <w:i w:val="1"/>
          <w:iCs w:val="1"/>
        </w:rPr>
        <w:t xml:space="preserve"> — This group is not described as having died like those in Revelation 20; they were reaped at the 7th trumpet and the end of the season of waiting.</w:t>
      </w:r>
    </w:p>
  </w:footnote>
  <w:footnote w:id="56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56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65">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566">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67">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11:19]]</w:t>
      </w:r>
    </w:p>
  </w:footnote>
  <w:footnote w:id="568">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69">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0">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1">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572">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The seven messengers are girded about the "mastos", the upper chest, not the loins here. So we should see these as priests and not winged angels. Further, they have the "pure and white linen" of the saints.</w:t>
      </w:r>
    </w:p>
  </w:footnote>
  <w:footnote w:id="57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574">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57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6">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7">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r>
        <w:rPr>
          <w:sz w:val="18"/>
          <w:szCs w:val="18"/>
          <w:i w:val="1"/>
          <w:iCs w:val="1"/>
        </w:rPr>
        <w:t xml:space="preserve"> — This voice is clearly the Father.</w:t>
      </w:r>
    </w:p>
  </w:footnote>
  <w:footnote w:id="578">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11:18]]</w:t>
      </w:r>
      <w:r>
        <w:rPr>
          <w:sz w:val="18"/>
          <w:szCs w:val="18"/>
        </w:rPr>
        <w:t xml:space="preserve">, </w:t>
      </w:r>
      <w:r>
        <w:rPr>
          <w:sz w:val="18"/>
          <w:szCs w:val="18"/>
        </w:rPr>
        <w:t xml:space="preserve">[[Bible:Re 15:1]]</w:t>
      </w:r>
    </w:p>
  </w:footnote>
  <w:footnote w:id="57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580">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581">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2">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3">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584">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58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The altar (מִזְבֵּחַ / θυσιαστηριου) is not part of the sanctuary proper. It stands in the courtyard. Again, the temple is empty, and none can enter.</w:t>
      </w:r>
    </w:p>
  </w:footnote>
  <w:footnote w:id="586">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16:7]]</w:t>
      </w:r>
      <w:r>
        <w:rPr>
          <w:sz w:val="18"/>
          <w:szCs w:val="18"/>
          <w:i w:val="1"/>
          <w:iCs w:val="1"/>
        </w:rPr>
        <w:t xml:space="preserve"> — If sounds are coming from the altar, or it is speaking, then it is likely that those under it are still, not yet resurrected.</w:t>
      </w:r>
    </w:p>
  </w:footnote>
  <w:footnote w:id="587">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588">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w:t>
      </w:r>
    </w:p>
  </w:footnote>
  <w:footnote w:id="589">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590">
    <w:p>
      <w:r>
        <w:rPr>
          <w:rStyle w:val="FootnoteReference"/>
        </w:rPr>
        <w:footnoteRef/>
      </w:r>
      <w:r>
        <w:t xml:space="preserve"> </w:t>
      </w:r>
      <w:r>
        <w:rPr>
          <w:sz w:val="18"/>
          <w:szCs w:val="18"/>
        </w:rPr>
        <w:t xml:space="preserve">[[Bible:Re 13:1-7]]</w:t>
      </w:r>
      <w:r>
        <w:rPr>
          <w:sz w:val="18"/>
          <w:szCs w:val="18"/>
        </w:rPr>
        <w:t xml:space="preserve">, </w:t>
      </w:r>
      <w:r>
        <w:rPr>
          <w:sz w:val="18"/>
          <w:szCs w:val="18"/>
        </w:rPr>
        <w:t xml:space="preserve">[[Bible:Re 13:12]]</w:t>
      </w:r>
      <w:r>
        <w:rPr>
          <w:sz w:val="18"/>
          <w:szCs w:val="18"/>
        </w:rPr>
        <w:t xml:space="preserve">, </w:t>
      </w:r>
      <w:r>
        <w:rPr>
          <w:sz w:val="18"/>
          <w:szCs w:val="18"/>
        </w:rPr>
        <w:t xml:space="preserve">[[Bible:Re 13:14-15]]</w:t>
      </w:r>
      <w:r>
        <w:rPr>
          <w:sz w:val="18"/>
          <w:szCs w:val="18"/>
        </w:rPr>
        <w:t xml:space="preserve">, </w:t>
      </w:r>
      <w:r>
        <w:rPr>
          <w:sz w:val="18"/>
          <w:szCs w:val="18"/>
        </w:rPr>
        <w:t xml:space="preserve">[[Bible:Re 13:16]]</w:t>
      </w:r>
      <w:r>
        <w:rPr>
          <w:sz w:val="18"/>
          <w:szCs w:val="18"/>
        </w:rPr>
        <w:t xml:space="preserve">, </w:t>
      </w:r>
      <w:r>
        <w:rPr>
          <w:sz w:val="18"/>
          <w:szCs w:val="18"/>
        </w:rPr>
        <w:t xml:space="preserve">[[Bible:Re 16:10]]</w:t>
      </w:r>
      <w:r>
        <w:rPr>
          <w:sz w:val="18"/>
          <w:szCs w:val="18"/>
        </w:rPr>
        <w:t xml:space="preserve">, </w:t>
      </w:r>
      <w:r>
        <w:rPr>
          <w:sz w:val="18"/>
          <w:szCs w:val="18"/>
        </w:rPr>
        <w:t xml:space="preserve">[[Bible:Re 16:13]]</w:t>
      </w:r>
      <w:r>
        <w:rPr>
          <w:sz w:val="18"/>
          <w:szCs w:val="18"/>
        </w:rPr>
        <w:t xml:space="preserve">, </w:t>
      </w:r>
      <w:r>
        <w:rPr>
          <w:sz w:val="18"/>
          <w:szCs w:val="18"/>
        </w:rPr>
        <w:t xml:space="preserve">[[Bible:Re 19:19-20]]</w:t>
      </w:r>
      <w:r>
        <w:rPr>
          <w:sz w:val="18"/>
          <w:szCs w:val="18"/>
        </w:rPr>
        <w:t xml:space="preserve">, </w:t>
      </w:r>
      <w:r>
        <w:rPr>
          <w:sz w:val="18"/>
          <w:szCs w:val="18"/>
        </w:rPr>
        <w:t xml:space="preserve">[[Bible:Re 20:10]]</w:t>
      </w:r>
      <w:r>
        <w:rPr>
          <w:sz w:val="18"/>
          <w:szCs w:val="18"/>
          <w:i w:val="1"/>
          <w:iCs w:val="1"/>
        </w:rPr>
        <w:t xml:space="preserve"> — The sea beast, not the red dragon. In Revelation 16:13 the beast is distinct from the dragon.</w:t>
      </w:r>
    </w:p>
  </w:footnote>
  <w:footnote w:id="591">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592">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593">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594">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595">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596">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597">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r>
        <w:rPr>
          <w:sz w:val="18"/>
          <w:szCs w:val="18"/>
          <w:i w:val="1"/>
          <w:iCs w:val="1"/>
        </w:rPr>
        <w:t xml:space="preserve"> — Keep in mind this is an idiom for a time that is not expected.</w:t>
      </w:r>
    </w:p>
  </w:footnote>
  <w:footnote w:id="598">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599">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600">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01">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602">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this way.</w:t>
      </w:r>
    </w:p>
  </w:footnote>
  <w:footnote w:id="60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This "great city" (Revelation 16:19) is very likely Jerusalem in location, but there appear to be many locations of a great city, such as Babylon in Mesopotamia (Daniel 4:30), Sodom and Egypt (Revelation 11:8, Isaiah 13:19-20), and, in Revelation 17, a mystery location. All Babylons appear to be the center of power of man. Do not confuse Jerusalem, where the sea beast appears to rule, with Mystery Babylon. We know Jerusalem is where Jesus was crucified, which is NOT a mystery. Mystery Babylon is not named in its location.</w:t>
      </w:r>
    </w:p>
  </w:footnote>
  <w:footnote w:id="60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But, because we know Mystery Babylon is the only other "great city" in Revelation, and it falls well before the events of Revelation 16, the only "great city" left is that of Jerusalem from 11:8. Meaning, 16:19 is pointing to the only remaining great city we ahve seen and the only one we have read about prior to this moment without explicitly naming this "great city" in 16:19 as Jeruselem.</w:t>
      </w:r>
    </w:p>
  </w:footnote>
  <w:footnote w:id="605">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606">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19:15]]</w:t>
      </w:r>
    </w:p>
  </w:footnote>
  <w:footnote w:id="607">
    <w:p>
      <w:r>
        <w:rPr>
          <w:rStyle w:val="FootnoteReference"/>
        </w:rPr>
        <w:footnoteRef/>
      </w:r>
      <w:r>
        <w:t xml:space="preserve"> </w:t>
      </w:r>
      <w:r>
        <w:rPr>
          <w:sz w:val="18"/>
          <w:szCs w:val="18"/>
        </w:rPr>
        <w:t xml:space="preserve">[[Bible:Zechariah 2:7]]</w:t>
      </w:r>
    </w:p>
  </w:footnote>
  <w:footnote w:id="608">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609">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particle used as a direct summons, meaning “come!” or “come now!” It is not a standard verb of motion, nor does it primarily indicate direction to a specific place. Rather, it expresses an immediate, personal call, often urgent or insistent. For this reason, it is here rendered as “come on,” which captures the force of a direct and engaging summons rather than a simple instruction to a location such as “come here.”</w:t>
      </w:r>
    </w:p>
  </w:footnote>
  <w:footnote w:id="610">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1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12">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r>
        <w:rPr>
          <w:sz w:val="18"/>
          <w:szCs w:val="18"/>
          <w:i w:val="1"/>
          <w:iCs w:val="1"/>
        </w:rPr>
        <w:t xml:space="preserve"> — When John is taken to see the whore, she is seen in the wilderness; when he is taken to see the bride, New Jerusalem, he is taken to a mountain. These locations mirror the city he is viewing.</w:t>
      </w:r>
    </w:p>
  </w:footnote>
  <w:footnote w:id="613">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21:1]]</w:t>
      </w:r>
    </w:p>
  </w:footnote>
  <w:footnote w:id="614">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17:8]]</w:t>
      </w:r>
    </w:p>
  </w:footnote>
  <w:footnote w:id="615">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616">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1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18">
    <w:p>
      <w:r>
        <w:rPr>
          <w:rStyle w:val="FootnoteReference"/>
        </w:rPr>
        <w:footnoteRef/>
      </w:r>
      <w:r>
        <w:t xml:space="preserve"> </w:t>
      </w:r>
      <w:r>
        <w:rPr>
          <w:sz w:val="18"/>
          <w:szCs w:val="18"/>
        </w:rPr>
        <w:t xml:space="preserve">[[Bible:Re 17:4]]</w:t>
      </w:r>
      <w:r>
        <w:rPr>
          <w:sz w:val="18"/>
          <w:szCs w:val="18"/>
        </w:rPr>
        <w:t xml:space="preserve">, </w:t>
      </w:r>
      <w:r>
        <w:rPr>
          <w:sz w:val="18"/>
          <w:szCs w:val="18"/>
        </w:rPr>
        <w:t xml:space="preserve">[[Bible:Jeremiah 51:7]]</w:t>
      </w:r>
      <w:r>
        <w:rPr>
          <w:sz w:val="18"/>
          <w:szCs w:val="18"/>
          <w:i w:val="1"/>
          <w:iCs w:val="1"/>
        </w:rPr>
        <w:t xml:space="preserve"> — When connected to Jeremiah 51, it seems that God's sovereignty is being displayed in the whore and later with the 10 kings.</w:t>
      </w:r>
    </w:p>
  </w:footnote>
  <w:footnote w:id="619">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620">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2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22">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23">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2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2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26">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17:3]]</w:t>
      </w:r>
    </w:p>
  </w:footnote>
  <w:footnote w:id="627">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628">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629">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20:10]]</w:t>
      </w:r>
      <w:r>
        <w:rPr>
          <w:sz w:val="18"/>
          <w:szCs w:val="18"/>
          <w:i w:val="1"/>
          <w:iCs w:val="1"/>
        </w:rPr>
        <w:t xml:space="preserve"> — Lake of fire.</w:t>
      </w:r>
    </w:p>
  </w:footnote>
  <w:footnote w:id="630">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631">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3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33">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3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635">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12:12]]</w:t>
      </w:r>
    </w:p>
  </w:footnote>
  <w:footnote w:id="636">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37">
    <w:p>
      <w:r>
        <w:rPr>
          <w:rStyle w:val="FootnoteReference"/>
        </w:rPr>
        <w:footnoteRef/>
      </w:r>
      <w:r>
        <w:t xml:space="preserve"> </w:t>
      </w:r>
      <w:r>
        <w:rPr>
          <w:sz w:val="18"/>
          <w:szCs w:val="18"/>
        </w:rPr>
        <w:t xml:space="preserve">[[Bible:Re 17:11]]</w:t>
      </w:r>
      <w:r>
        <w:rPr>
          <w:sz w:val="18"/>
          <w:szCs w:val="18"/>
        </w:rPr>
        <w:t xml:space="preserve">, </w:t>
      </w:r>
      <w:r>
        <w:rPr>
          <w:sz w:val="18"/>
          <w:szCs w:val="18"/>
        </w:rPr>
        <w:t xml:space="preserve">[[Bible:Re 20:10]]</w:t>
      </w:r>
      <w:r>
        <w:rPr>
          <w:sz w:val="18"/>
          <w:szCs w:val="18"/>
          <w:i w:val="1"/>
          <w:iCs w:val="1"/>
        </w:rPr>
        <w:t xml:space="preserve"> — Lake of fire.</w:t>
      </w:r>
    </w:p>
  </w:footnote>
  <w:footnote w:id="638">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639">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r>
        <w:rPr>
          <w:sz w:val="18"/>
          <w:szCs w:val="18"/>
          <w:i w:val="1"/>
          <w:iCs w:val="1"/>
        </w:rPr>
        <w:t xml:space="preserve"> — Together at the same time, a literal hour.</w:t>
      </w:r>
    </w:p>
  </w:footnote>
  <w:footnote w:id="640">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r>
        <w:rPr>
          <w:sz w:val="18"/>
          <w:szCs w:val="18"/>
          <w:i w:val="1"/>
          <w:iCs w:val="1"/>
        </w:rPr>
        <w:t xml:space="preserve"> — Based on the text, this appears to rule out the view that the ten kings are successive rulers of Rome, since they are depicted as reigning together in unity at the same time. Those who interpret these kings as a sequence of Roman emperors face difficulty reconciling this collective action in a literal sense, as the passage explicitly presents them working in concert. Such an interpretation requires imposing a framework onto the text that it does not naturally support.</w:t>
      </w:r>
    </w:p>
  </w:footnote>
  <w:footnote w:id="641">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2">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643">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644">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645">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46">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7">
    <w:p>
      <w:r>
        <w:rPr>
          <w:rStyle w:val="FootnoteReference"/>
        </w:rPr>
        <w:footnoteRef/>
      </w:r>
      <w:r>
        <w:t xml:space="preserve"> </w:t>
      </w:r>
      <w:r>
        <w:rPr>
          <w:sz w:val="18"/>
          <w:szCs w:val="18"/>
        </w:rPr>
        <w:t xml:space="preserve">[[Bible:Re 17:17]]</w:t>
      </w:r>
      <w:r>
        <w:rPr>
          <w:sz w:val="18"/>
          <w:szCs w:val="18"/>
        </w:rPr>
        <w:t xml:space="preserve">, </w:t>
      </w:r>
      <w:r>
        <w:rPr>
          <w:sz w:val="18"/>
          <w:szCs w:val="18"/>
        </w:rPr>
        <w:t xml:space="preserve">[[Bible:Jeremiah 51:53]]</w:t>
      </w:r>
    </w:p>
  </w:footnote>
  <w:footnote w:id="648">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51">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14:8]]</w:t>
      </w:r>
    </w:p>
  </w:footnote>
  <w:footnote w:id="652">
    <w:p>
      <w:r>
        <w:rPr>
          <w:rStyle w:val="FootnoteReference"/>
        </w:rPr>
        <w:footnoteRef/>
      </w:r>
      <w:r>
        <w:t xml:space="preserve"> </w:t>
      </w:r>
      <w:r>
        <w:rPr>
          <w:sz w:val="18"/>
          <w:szCs w:val="18"/>
        </w:rPr>
        <w:t xml:space="preserve">[[Bible:Re 18:1]]</w:t>
      </w:r>
      <w:r>
        <w:rPr>
          <w:sz w:val="18"/>
          <w:szCs w:val="18"/>
        </w:rPr>
        <w:t xml:space="preserve">, </w:t>
      </w:r>
      <w:r>
        <w:rPr>
          <w:sz w:val="18"/>
          <w:szCs w:val="18"/>
        </w:rPr>
        <w:t xml:space="preserve">[[Bible:Ezekiel 43:2]]</w:t>
      </w:r>
      <w:r>
        <w:rPr>
          <w:sz w:val="18"/>
          <w:szCs w:val="18"/>
        </w:rPr>
        <w:t xml:space="preserve">, </w:t>
      </w:r>
      <w:r>
        <w:rPr>
          <w:sz w:val="18"/>
          <w:szCs w:val="18"/>
        </w:rPr>
        <w:t xml:space="preserve">[[Bible:Luke 2:9]]</w:t>
      </w:r>
      <w:r>
        <w:rPr>
          <w:sz w:val="18"/>
          <w:szCs w:val="18"/>
          <w:i w:val="1"/>
          <w:iCs w:val="1"/>
        </w:rPr>
        <w:t xml:space="preserve"> — Connection does not mean these two are the same in identity on its own, the connection is too loose.</w:t>
      </w:r>
    </w:p>
  </w:footnote>
  <w:footnote w:id="653">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14:8]]</w:t>
      </w:r>
    </w:p>
  </w:footnote>
  <w:footnote w:id="654">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5">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21:9]]</w:t>
      </w:r>
    </w:p>
  </w:footnote>
  <w:footnote w:id="65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57">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658">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7:14]]</w:t>
      </w:r>
    </w:p>
  </w:footnote>
  <w:footnote w:id="659">
    <w:p>
      <w:r>
        <w:rPr>
          <w:rStyle w:val="FootnoteReference"/>
        </w:rPr>
        <w:footnoteRef/>
      </w:r>
      <w:r>
        <w:t xml:space="preserve"> </w:t>
      </w:r>
      <w:r>
        <w:rPr>
          <w:sz w:val="18"/>
          <w:szCs w:val="18"/>
        </w:rPr>
        <w:t xml:space="preserve">[[Bible:Re 18:4]]</w:t>
      </w:r>
      <w:r>
        <w:rPr>
          <w:sz w:val="18"/>
          <w:szCs w:val="18"/>
        </w:rPr>
        <w:t xml:space="preserve">, </w:t>
      </w:r>
      <w:r>
        <w:rPr>
          <w:sz w:val="18"/>
          <w:szCs w:val="18"/>
        </w:rPr>
        <w:t xml:space="preserve">[[Bible:Jeremiah 51:45]]</w:t>
      </w:r>
    </w:p>
  </w:footnote>
  <w:footnote w:id="66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661">
    <w:p>
      <w:r>
        <w:rPr>
          <w:rStyle w:val="FootnoteReference"/>
        </w:rPr>
        <w:footnoteRef/>
      </w:r>
      <w:r>
        <w:t xml:space="preserve"> </w:t>
      </w:r>
      <w:r>
        <w:rPr>
          <w:sz w:val="18"/>
          <w:szCs w:val="18"/>
        </w:rPr>
        <w:t xml:space="preserve">[[Bible:Jeremiah 17:18]]</w:t>
      </w:r>
    </w:p>
  </w:footnote>
  <w:footnote w:id="662">
    <w:p>
      <w:r>
        <w:rPr>
          <w:rStyle w:val="FootnoteReference"/>
        </w:rPr>
        <w:footnoteRef/>
      </w:r>
      <w:r>
        <w:t xml:space="preserve"> </w:t>
      </w:r>
      <w:r>
        <w:rPr>
          <w:sz w:val="18"/>
          <w:szCs w:val="18"/>
        </w:rPr>
        <w:t xml:space="preserve">[[Bible:Re 18:7]]</w:t>
      </w:r>
      <w:r>
        <w:rPr>
          <w:sz w:val="18"/>
          <w:szCs w:val="18"/>
        </w:rPr>
        <w:t xml:space="preserve">, </w:t>
      </w:r>
      <w:r>
        <w:rPr>
          <w:sz w:val="18"/>
          <w:szCs w:val="18"/>
        </w:rPr>
        <w:t xml:space="preserve">[[Bible:Isaiah 47:7]]</w:t>
      </w:r>
    </w:p>
  </w:footnote>
  <w:footnote w:id="663">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64">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65">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6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67">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68">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6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70">
    <w:p>
      <w:r>
        <w:rPr>
          <w:rStyle w:val="FootnoteReference"/>
        </w:rPr>
        <w:footnoteRef/>
      </w:r>
      <w:r>
        <w:t xml:space="preserve"> </w:t>
      </w:r>
      <w:r>
        <w:rPr>
          <w:sz w:val="18"/>
          <w:szCs w:val="18"/>
        </w:rPr>
        <w:t xml:space="preserve">[[Bible:Ezekiel 27]]</w:t>
      </w:r>
    </w:p>
  </w:footnote>
  <w:footnote w:id="67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73">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74">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7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6">
    <w:p>
      <w:r>
        <w:rPr>
          <w:rStyle w:val="FootnoteReference"/>
        </w:rPr>
        <w:footnoteRef/>
      </w:r>
      <w:r>
        <w:t xml:space="preserve"> </w:t>
      </w:r>
      <w:r>
        <w:rPr>
          <w:sz w:val="18"/>
          <w:szCs w:val="18"/>
        </w:rPr>
        <w:t xml:space="preserve">[[Bible:Re 18:18]]</w:t>
      </w:r>
      <w:r>
        <w:rPr>
          <w:sz w:val="18"/>
          <w:szCs w:val="18"/>
        </w:rPr>
        <w:t xml:space="preserve">, </w:t>
      </w:r>
      <w:r>
        <w:rPr>
          <w:sz w:val="18"/>
          <w:szCs w:val="18"/>
        </w:rPr>
        <w:t xml:space="preserve">[[Bible:Re 21:10]]</w:t>
      </w:r>
      <w:r>
        <w:rPr>
          <w:sz w:val="18"/>
          <w:szCs w:val="18"/>
          <w:i w:val="1"/>
          <w:iCs w:val="1"/>
        </w:rPr>
        <w:t xml:space="preserve"> — New Jerusalem is called a "great city" only in TR/KJV in Revelation 21:10. So, "great city" is not enough to identify a particular city as distinct in the TR tradition, but in the CT/NA/ESV it is. Given the broader context in which Revelation uses "great city" for Babylon and its counterparts like Sodom, it would be strange to call the New Jerusalem by the same phrase "great city".</w:t>
      </w:r>
    </w:p>
  </w:footnote>
  <w:footnote w:id="677">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7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80">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81">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682">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83">
    <w:p>
      <w:r>
        <w:rPr>
          <w:rStyle w:val="FootnoteReference"/>
        </w:rPr>
        <w:footnoteRef/>
      </w:r>
      <w:r>
        <w:t xml:space="preserve"> </w:t>
      </w:r>
      <w:r>
        <w:rPr>
          <w:sz w:val="18"/>
          <w:szCs w:val="18"/>
        </w:rPr>
        <w:t xml:space="preserve">[[Bible:Re 5:2]]</w:t>
      </w:r>
      <w:r>
        <w:rPr>
          <w:sz w:val="18"/>
          <w:szCs w:val="18"/>
        </w:rPr>
        <w:t xml:space="preserve">, </w:t>
      </w:r>
      <w:r>
        <w:rPr>
          <w:sz w:val="18"/>
          <w:szCs w:val="18"/>
        </w:rPr>
        <w:t xml:space="preserve">[[Bible:Re 10:1]]</w:t>
      </w:r>
      <w:r>
        <w:rPr>
          <w:sz w:val="18"/>
          <w:szCs w:val="18"/>
        </w:rPr>
        <w:t xml:space="preserve">, </w:t>
      </w:r>
      <w:r>
        <w:rPr>
          <w:sz w:val="18"/>
          <w:szCs w:val="18"/>
        </w:rPr>
        <w:t xml:space="preserve">[[Bible:Re 18:21]]</w:t>
      </w:r>
      <w:r>
        <w:rPr>
          <w:sz w:val="18"/>
          <w:szCs w:val="18"/>
          <w:i w:val="1"/>
          <w:iCs w:val="1"/>
        </w:rPr>
        <w:t xml:space="preserve"> — "strong messenger" does not appear to identify a specific identity; "strong" appears to be a characteristic of at least two messengers. If this messenger is one of the previous strong ones, it would be what appears to be Jesus in 10:1 or the messenger of 5:2. It is likely the messenger of 5:2 because Revelation tends to make Jesus' identity very clear when present.</w:t>
      </w:r>
    </w:p>
  </w:footnote>
  <w:footnote w:id="684">
    <w:p>
      <w:r>
        <w:rPr>
          <w:rStyle w:val="FootnoteReference"/>
        </w:rPr>
        <w:footnoteRef/>
      </w:r>
      <w:r>
        <w:t xml:space="preserve"> </w:t>
      </w:r>
      <w:r>
        <w:rPr>
          <w:sz w:val="18"/>
          <w:szCs w:val="18"/>
        </w:rPr>
        <w:t xml:space="preserve">[[Bible:Re 18:21]]</w:t>
      </w:r>
      <w:r>
        <w:rPr>
          <w:sz w:val="18"/>
          <w:szCs w:val="18"/>
        </w:rPr>
        <w:t xml:space="preserve">, </w:t>
      </w:r>
      <w:r>
        <w:rPr>
          <w:sz w:val="18"/>
          <w:szCs w:val="18"/>
        </w:rPr>
        <w:t xml:space="preserve">[[Bible:Jeremiah 51:62-64]]</w:t>
      </w:r>
    </w:p>
  </w:footnote>
  <w:footnote w:id="68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86">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7">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8">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0">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1">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92">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693">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694">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12:10]]</w:t>
      </w:r>
    </w:p>
  </w:footnote>
  <w:footnote w:id="695">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[[Bible:Hebrews 9:28]]</w:t>
      </w:r>
      <w:r>
        <w:rPr>
          <w:sz w:val="18"/>
          <w:szCs w:val="18"/>
          <w:i w:val="1"/>
          <w:iCs w:val="1"/>
        </w:rPr>
        <w:t xml:space="preserve"> — This "salvation" in 19:1 may be a possible prophetic fulfillment of the "salvation" in Hebrews. In Hebrews 9:28, it says, "So Christ was once offered to bear the sins of many; and unto them that look for him shall he appear the second time without sin **unto salvation**." If this moment of "salvation" in 19:1 is connected to the salvation of the "second coming", then the second coming will correspond to events that happen at the start of the tribulation of 7 years. And then in 19:11, after the 7-year tribulation, he can come a third time without problem. There is nothing in scripture preventing many comings of Jesus. If Jesus is to appear the second time specifically to provide salvation, His second coming does not prevent him from coming a third and a fourth time, each for a different reason. Only His second coming needs to be for "salvation".</w:t>
      </w:r>
    </w:p>
  </w:footnote>
  <w:footnote w:id="696">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97">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698">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r>
        <w:rPr>
          <w:sz w:val="18"/>
          <w:szCs w:val="18"/>
          <w:i w:val="1"/>
          <w:iCs w:val="1"/>
        </w:rPr>
        <w:t xml:space="preserve"> — Mystery Babylon is gone forever; her smoke is not the same as that of the lake of fire.</w:t>
      </w:r>
    </w:p>
  </w:footnote>
  <w:footnote w:id="699">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700">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701">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02">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0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704">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p>
  </w:footnote>
  <w:footnote w:id="705">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06">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70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w:t>
      </w:r>
    </w:p>
  </w:footnote>
  <w:footnote w:id="708">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09">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10">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71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1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13">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14">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715">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71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717">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718">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719">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13:1]]</w:t>
      </w:r>
    </w:p>
  </w:footnote>
  <w:footnote w:id="720">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p>
  </w:footnote>
  <w:footnote w:id="721">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72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23">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is used.</w:t>
      </w:r>
    </w:p>
  </w:footnote>
  <w:footnote w:id="72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25">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726">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72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728">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729">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 to angels and the sun. This is only a note of the connection, but I do not think there is a real one here.</w:t>
      </w:r>
    </w:p>
  </w:footnote>
  <w:footnote w:id="730">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731">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32">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33">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34">
    <w:p>
      <w:r>
        <w:rPr>
          <w:rStyle w:val="FootnoteReference"/>
        </w:rPr>
        <w:footnoteRef/>
      </w:r>
      <w:r>
        <w:t xml:space="preserve"> </w:t>
      </w:r>
      <w:r>
        <w:rPr>
          <w:sz w:val="18"/>
          <w:szCs w:val="18"/>
        </w:rPr>
        <w:t xml:space="preserve">[[Bible:Daniel 7:11]]</w:t>
      </w:r>
    </w:p>
  </w:footnote>
  <w:footnote w:id="73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3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keys, the only angel that is shown to have a key is Jesus. So this is likely Jesus.</w:t>
      </w:r>
    </w:p>
  </w:footnote>
  <w:footnote w:id="737">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38">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739">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41">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2">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743">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p>
  </w:footnote>
  <w:footnote w:id="744">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p>
  </w:footnote>
  <w:footnote w:id="74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46">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4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748">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50">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1">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52">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53">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4">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5">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r>
        <w:rPr>
          <w:sz w:val="18"/>
          <w:szCs w:val="18"/>
          <w:i w:val="1"/>
          <w:iCs w:val="1"/>
        </w:rPr>
        <w:t xml:space="preserve"> — Bottomless pit.</w:t>
      </w:r>
    </w:p>
  </w:footnote>
  <w:footnote w:id="75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757">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58">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Keep in mind the Father and the Son are one, and they share the throne.</w:t>
      </w:r>
    </w:p>
  </w:footnote>
  <w:footnote w:id="759">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6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76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762">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76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764">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65">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66">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767">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6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769">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bride is a symbol of the city.</w:t>
      </w:r>
    </w:p>
  </w:footnote>
  <w:footnote w:id="770">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71">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772">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77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74">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775">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In 21:7, we see that this is God because it says "he shall be my son," which Jesus would not say.</w:t>
      </w:r>
    </w:p>
  </w:footnote>
  <w:footnote w:id="776">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777">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77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79">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780">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81">
    <w:p>
      <w:r>
        <w:rPr>
          <w:rStyle w:val="FootnoteReference"/>
        </w:rPr>
        <w:footnoteRef/>
      </w:r>
      <w:r>
        <w:t xml:space="preserve"> </w:t>
      </w:r>
      <w:r>
        <w:rPr>
          <w:sz w:val="18"/>
          <w:szCs w:val="18"/>
        </w:rPr>
        <w:t xml:space="preserve">[[Bible:Isaiah 60:18]]</w:t>
      </w:r>
    </w:p>
  </w:footnote>
  <w:footnote w:id="782">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summons meaning “come!” or “come now!” It functions as a direct, personal call rather than a simple directional command. It is therefore rendered here as “come on” to reflect its immediacy and force.</w:t>
      </w:r>
    </w:p>
  </w:footnote>
  <w:footnote w:id="783">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city is a symbol of the bride.</w:t>
      </w:r>
    </w:p>
  </w:footnote>
  <w:footnote w:id="784">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p>
  </w:footnote>
  <w:footnote w:id="78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786">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r>
        <w:rPr>
          <w:sz w:val="18"/>
          <w:szCs w:val="18"/>
          <w:i w:val="1"/>
          <w:iCs w:val="1"/>
        </w:rPr>
        <w:t xml:space="preserve"> — Glory is God's that is given to her.</w:t>
      </w:r>
    </w:p>
  </w:footnote>
  <w:footnote w:id="787">
    <w:p>
      <w:r>
        <w:rPr>
          <w:rStyle w:val="FootnoteReference"/>
        </w:rPr>
        <w:footnoteRef/>
      </w:r>
      <w:r>
        <w:t xml:space="preserve"> </w:t>
      </w:r>
      <w:r>
        <w:rPr>
          <w:sz w:val="18"/>
          <w:szCs w:val="18"/>
        </w:rPr>
        <w:t xml:space="preserve">[[Bible:Isaiah 54:11-12]]</w:t>
      </w:r>
    </w:p>
  </w:footnote>
  <w:footnote w:id="788">
    <w:p>
      <w:r>
        <w:rPr>
          <w:rStyle w:val="FootnoteReference"/>
        </w:rPr>
        <w:footnoteRef/>
      </w:r>
      <w:r>
        <w:t xml:space="preserve"> </w:t>
      </w:r>
      <w:r>
        <w:rPr>
          <w:sz w:val="18"/>
          <w:szCs w:val="18"/>
        </w:rPr>
        <w:t xml:space="preserve">[[Bible:Isaiah 54:11-12]]</w:t>
      </w:r>
    </w:p>
  </w:footnote>
  <w:footnote w:id="789">
    <w:p>
      <w:r>
        <w:rPr>
          <w:rStyle w:val="FootnoteReference"/>
        </w:rPr>
        <w:footnoteRef/>
      </w:r>
      <w:r>
        <w:t xml:space="preserve"> </w:t>
      </w:r>
      <w:r>
        <w:rPr>
          <w:sz w:val="18"/>
          <w:szCs w:val="18"/>
        </w:rPr>
        <w:t xml:space="preserve">[[Bible:Isaiah 54:11-12]]</w:t>
      </w:r>
    </w:p>
  </w:footnote>
  <w:footnote w:id="790">
    <w:p>
      <w:r>
        <w:rPr>
          <w:rStyle w:val="FootnoteReference"/>
        </w:rPr>
        <w:footnoteRef/>
      </w:r>
      <w:r>
        <w:t xml:space="preserve"> </w:t>
      </w:r>
      <w:r>
        <w:rPr>
          <w:sz w:val="18"/>
          <w:szCs w:val="18"/>
        </w:rPr>
        <w:t xml:space="preserve">[[Bible:Re 7:15]]</w:t>
      </w:r>
      <w:r>
        <w:rPr>
          <w:sz w:val="18"/>
          <w:szCs w:val="18"/>
        </w:rPr>
        <w:t xml:space="preserve">, </w:t>
      </w:r>
      <w:r>
        <w:rPr>
          <w:sz w:val="18"/>
          <w:szCs w:val="18"/>
        </w:rPr>
        <w:t xml:space="preserve">[[Bible:Re 21:22]]</w:t>
      </w:r>
      <w:r>
        <w:rPr>
          <w:sz w:val="18"/>
          <w:szCs w:val="18"/>
          <w:i w:val="1"/>
          <w:iCs w:val="1"/>
        </w:rPr>
        <w:t xml:space="preserve"> — In 7:15, the saints serve in the temple, which places the time in 21:22 when there is no temple, and that of 7:15 as distant realities. And makes them two distinct times. 7:15 before and 21:22 after the 1000 years.</w:t>
      </w:r>
    </w:p>
  </w:footnote>
  <w:footnote w:id="79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r>
        <w:rPr>
          <w:sz w:val="18"/>
          <w:szCs w:val="18"/>
          <w:i w:val="1"/>
          <w:iCs w:val="1"/>
        </w:rPr>
        <w:t xml:space="preserve"> — The Lamb again is like the sun, and in this case he is the light replacing the sun.</w:t>
      </w:r>
    </w:p>
  </w:footnote>
  <w:footnote w:id="792">
    <w:p>
      <w:r>
        <w:rPr>
          <w:rStyle w:val="FootnoteReference"/>
        </w:rPr>
        <w:footnoteRef/>
      </w:r>
      <w:r>
        <w:t xml:space="preserve"> </w:t>
      </w:r>
      <w:r>
        <w:rPr>
          <w:sz w:val="18"/>
          <w:szCs w:val="18"/>
        </w:rPr>
        <w:t xml:space="preserve">[[Bible:Isaiah 60:19]]</w:t>
      </w:r>
    </w:p>
  </w:footnote>
  <w:footnote w:id="793">
    <w:p>
      <w:r>
        <w:rPr>
          <w:rStyle w:val="FootnoteReference"/>
        </w:rPr>
        <w:footnoteRef/>
      </w:r>
      <w:r>
        <w:t xml:space="preserve"> </w:t>
      </w:r>
      <w:r>
        <w:rPr>
          <w:sz w:val="18"/>
          <w:szCs w:val="18"/>
        </w:rPr>
        <w:t xml:space="preserve">[[Bible:Isaiah 60:20]]</w:t>
      </w:r>
    </w:p>
  </w:footnote>
  <w:footnote w:id="79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95">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796">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797">
    <w:p>
      <w:r>
        <w:rPr>
          <w:rStyle w:val="FootnoteReference"/>
        </w:rPr>
        <w:footnoteRef/>
      </w:r>
      <w:r>
        <w:t xml:space="preserve"> </w:t>
      </w:r>
      <w:r>
        <w:rPr>
          <w:sz w:val="18"/>
          <w:szCs w:val="18"/>
        </w:rPr>
        <w:t xml:space="preserve">[[Bible:Isaiah 60:11]]</w:t>
      </w:r>
    </w:p>
  </w:footnote>
  <w:footnote w:id="79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99">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00">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Jesus and the Father share the throne.</w:t>
      </w:r>
    </w:p>
  </w:footnote>
  <w:footnote w:id="801">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02">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03">
    <w:p>
      <w:r>
        <w:rPr>
          <w:rStyle w:val="FootnoteReference"/>
        </w:rPr>
        <w:footnoteRef/>
      </w:r>
      <w:r>
        <w:t xml:space="preserve"> </w:t>
      </w:r>
      <w:r>
        <w:rPr>
          <w:sz w:val="18"/>
          <w:szCs w:val="18"/>
        </w:rPr>
        <w:t xml:space="preserve">[[Bible:Ezekiel 47:12]]</w:t>
      </w:r>
      <w:r>
        <w:rPr>
          <w:sz w:val="18"/>
          <w:szCs w:val="18"/>
          <w:i w:val="1"/>
          <w:iCs w:val="1"/>
        </w:rPr>
        <w:t xml:space="preserve"> — The trees described in Ezekiel 47 are not identical in setting or scope to the tree of life in Revelation 22:2. However, we clearly see a prophetic escalation from Ezekiel's temple vision to John's final vision. In Ezekiel 47, life flows from a temple structure within a restored land, and trees bear continual fruit with leaves for healing. In Revelation 22, that imagery reaches its fullest expression: the river flows not from a temple building, but from the throne of God and of the Lamb, and the tree of life stands in the midst of the city where the curse is no more. What Ezekiel presents in shadowed, restoration language, Revelation unveils in consummated clarity.</w:t>
      </w:r>
    </w:p>
  </w:footnote>
  <w:footnote w:id="804">
    <w:p>
      <w:r>
        <w:rPr>
          <w:rStyle w:val="FootnoteReference"/>
        </w:rPr>
        <w:footnoteRef/>
      </w:r>
      <w:r>
        <w:t xml:space="preserve"> </w:t>
      </w:r>
      <w:r>
        <w:rPr>
          <w:sz w:val="18"/>
          <w:szCs w:val="18"/>
        </w:rPr>
        <w:t xml:space="preserve">[[Bible:Genesis 3:14-19]]</w:t>
      </w:r>
      <w:r>
        <w:rPr>
          <w:sz w:val="18"/>
          <w:szCs w:val="18"/>
          <w:i w:val="1"/>
          <w:iCs w:val="1"/>
        </w:rPr>
        <w:t xml:space="preserve"> — In Genesis 3:14-19, the curse enters through Adam's fall — the serpent is cursed, the ground is cursed, and death begins its reign. In Revelation 22:3, that same curse is explicitly removed, showing that the final state reverses what began in Eden, restoring and surpassing the original creation.</w:t>
      </w:r>
    </w:p>
  </w:footnote>
  <w:footnote w:id="805">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80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80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0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809">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10">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11">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12">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p>
  </w:footnote>
  <w:footnote w:id="813">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814">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815">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22:9]]</w:t>
      </w:r>
    </w:p>
  </w:footnote>
  <w:footnote w:id="81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Another bookend.</w:t>
      </w:r>
    </w:p>
  </w:footnote>
  <w:footnote w:id="817">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18">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19">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820">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If you look closely at 22:13, you will see a joining of the "I am Alpha and Omega, the beginning and the end" and "the first and the last"; we normally see this "the first and the last" coming from Jesus.</w:t>
      </w:r>
    </w:p>
  </w:footnote>
  <w:footnote w:id="821">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22">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823">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24">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825">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w:t>
      </w:r>
    </w:p>
  </w:footnote>
  <w:footnote w:id="826">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827">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828">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829">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30">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w:t>
      </w:r>
    </w:p>
  </w:footnote>
  <w:footnote w:id="831">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3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33">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styleId="Heading3">
    <w:link w:val="Heading3Char"/>
    <w:name w:val="heading 3"/>
    <w:basedOn w:val="Normal"/>
    <w:pPr>
      <w:jc w:val="center"/>
      <w:spacing w:before="120" w:after="80"/>
    </w:pPr>
    <w:rPr>
      <w:rFonts w:ascii="Times New Roman" w:hAnsi="Times New Roman" w:eastAsia="Times New Roman" w:cs="Times New Roman"/>
      <w:sz w:val="24"/>
      <w:szCs w:val="24"/>
      <w:b w:val="1"/>
      <w:bCs w:val="1"/>
      <w:i w:val="1"/>
      <w:iCs w:val="1"/>
    </w:rPr>
  </w:style>
  <w:style w:type="paragraph" w:customStyle="1" w:styleId="BodyVerse">
    <w:name w:val="BodyVerse"/>
    <w:basedOn w:val="Normal"/>
    <w:pPr>
      <w:jc w:val="both"/>
      <w:spacing w:after="90" w:line="276" w:lineRule="auto"/>
    </w:pPr>
  </w:style>
  <w:style w:type="paragraph" w:customStyle="1" w:styleId="SectionBody">
    <w:name w:val="SectionBody"/>
    <w:basedOn w:val="Normal"/>
    <w:pPr>
      <w:jc w:val="left"/>
      <w:spacing w:after="1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2026-04-23T01:36:05+00:00</dcterms:created>
  <dcterms:modified xsi:type="dcterms:W3CDTF">2026-04-23T01:36:05+00:00</dcterms:modified>
</cp:coreProperties>
</file>

<file path=docProps/custom.xml><?xml version="1.0" encoding="utf-8"?>
<Properties xmlns="http://schemas.openxmlformats.org/officeDocument/2006/custom-properties" xmlns:vt="http://schemas.openxmlformats.org/officeDocument/2006/docPropsVTypes"/>
</file>